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tLeast" w:line="23" w:before="0" w:after="0"/>
        <w:contextualSpacing/>
        <w:rPr>
          <w:rFonts w:cs="Calibri"/>
          <w:b/>
        </w:rPr>
      </w:pPr>
      <w:r>
        <w:rPr>
          <w:rFonts w:cs="Calibri"/>
          <w:b/>
        </w:rPr>
        <w:t>Załącznik nr 1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6"/>
        <w:gridCol w:w="2130"/>
        <w:gridCol w:w="1140"/>
        <w:gridCol w:w="780"/>
        <w:gridCol w:w="1487"/>
        <w:gridCol w:w="1282"/>
        <w:gridCol w:w="708"/>
        <w:gridCol w:w="282"/>
        <w:gridCol w:w="712"/>
        <w:gridCol w:w="12"/>
        <w:gridCol w:w="1396"/>
      </w:tblGrid>
      <w:tr>
        <w:trPr>
          <w:trHeight w:val="52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>
        <w:trPr>
          <w:trHeight w:val="560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 w domenie kul.pl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2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39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ministra właściwego ds. nauki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84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grantów dyscyplinowych,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525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71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12" w:hRule="atLeast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418" w:hRule="atLeast"/>
        </w:trPr>
        <w:tc>
          <w:tcPr>
            <w:tcW w:w="354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>
        <w:trPr>
          <w:trHeight w:val="1036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>
        <w:trPr>
          <w:trHeight w:val="279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Rozdział(y) w monografii/ach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Redakcja monografii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81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>
        <w:trPr>
          <w:trHeight w:val="843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(miesiąc, rok)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ministra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205" w:type="dxa"/>
            <w:gridSpan w:val="11"/>
            <w:tcBorders>
              <w:top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09"/>
            </w:tblGrid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32" w:hRule="atLeast"/>
        </w:trPr>
        <w:tc>
          <w:tcPr>
            <w:tcW w:w="10205" w:type="dxa"/>
            <w:gridSpan w:val="11"/>
            <w:tcBorders>
              <w:bottom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186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03"/>
              <w:gridCol w:w="2078"/>
              <w:gridCol w:w="2764"/>
              <w:gridCol w:w="711"/>
              <w:gridCol w:w="985"/>
              <w:gridCol w:w="9"/>
              <w:gridCol w:w="1935"/>
            </w:tblGrid>
            <w:tr>
              <w:trPr>
                <w:trHeight w:val="325" w:hRule="atLeast"/>
              </w:trPr>
              <w:tc>
                <w:tcPr>
                  <w:tcW w:w="17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170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07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811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21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ascii="Wingdings 2" w:hAnsi="Wingdings 2" w:eastAsia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953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85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294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085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82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right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593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>
        <w:trPr>
          <w:trHeight w:val="325" w:hRule="atLeast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509" w:hRule="atLeast"/>
        </w:trPr>
        <w:tc>
          <w:tcPr>
            <w:tcW w:w="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9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wstępna kalkulacja wydawnicza dołączona do wniosku, w przypadku publikacji art. w płatnym czasopiśmie informacja od redakcji o wysokości opłaty)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67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696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ListParagraph"/>
        <w:spacing w:lineRule="atLeast" w:line="23" w:before="0" w:after="0"/>
        <w:ind w:left="0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Standard"/>
        <w:spacing w:lineRule="atLeast" w:line="23" w:before="0" w:after="0"/>
        <w:contextualSpacing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sz w:val="16"/>
          <w:szCs w:val="16"/>
          <w:shd w:fill="FFFFFF" w:val="clear"/>
        </w:rPr>
      </w:pPr>
      <w:r>
        <w:rPr>
          <w:rFonts w:cs="Calibri"/>
          <w:b/>
          <w:sz w:val="16"/>
          <w:szCs w:val="16"/>
          <w:shd w:fill="FFFFFF" w:val="clear"/>
        </w:rPr>
        <w:t>KLAUZULA INFORMACYJNA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3. Dane osobowe będą przetwarzane w związku z ubieganiem się o środki finansowe w systemie grantów wewnętrznych organizowanych w Uniwersytecie.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4. Dane osobowe będą przetwarzane przez okres niezbędny do realizacji ww. celu z uwzględnieniem okresu archiwizacji.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5. Podstawą prawną przetwarzania danych jest art. 6 ust. 1 lit. a) ww. Rozporządzenia (zgoda osoby, której dane dotyczą).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6. Dane osobowe mogą być ujawniane: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pracownikom posiadającym upoważnienia do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podmiotom przetwarzającym dane na zlecenie;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Ministerstwu Nauki i Szkolnictwa Wyższego.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7. Osoba, której dane dotyczą ma prawo do: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żądania dostępu do danych osobowych oraz ich sprostowania, usunięcia lub ograniczenia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cofnięcia zgody w dowolnym momencie bez wpływu na zgodność z prawem przetwarzania, którego dokonano na podstawie zgody przed jej cofnięciem;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wniesienia skargi do Prezesa Urzędu Ochrony Danych Osobowych.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Podanie danych osobowych jest konieczne. Konsekwencją niepodania danych osobowych jest brak możliwości wnioskowania o środki finansowe.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Normal"/>
        <w:spacing w:lineRule="atLeast" w:line="23" w:before="0" w:after="160"/>
        <w:contextualSpacing/>
        <w:rPr>
          <w:rFonts w:cs="Calibri"/>
          <w:shd w:fill="FFFFFF" w:val="clear"/>
        </w:rPr>
      </w:pPr>
      <w:r>
        <w:rPr>
          <w:rFonts w:cs="Calibri" w:cstheme="minorHAnsi"/>
        </w:rPr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2420576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  <w:docVars>
    <w:docVar w:name="LE_Links" w:val="{BEA6813E-1DA5-4F90-8669-ECC50C4EB973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-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LibreOffice/7.5.6.2$Windows_X86_64 LibreOffice_project/f654817fb68d6d4600d7d2f6b647e47729f55f15</Application>
  <AppVersion>15.0000</AppVersion>
  <Pages>4</Pages>
  <Words>801</Words>
  <Characters>5333</Characters>
  <CharactersWithSpaces>6026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/>
  <dcterms:modified xsi:type="dcterms:W3CDTF">2024-01-25T11:45:19Z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