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029"/>
        <w:tblW w:w="5110" w:type="pct"/>
        <w:tblLook w:val="04A0"/>
      </w:tblPr>
      <w:tblGrid>
        <w:gridCol w:w="1523"/>
        <w:gridCol w:w="3842"/>
        <w:gridCol w:w="106"/>
        <w:gridCol w:w="1116"/>
        <w:gridCol w:w="2905"/>
      </w:tblGrid>
      <w:tr w:rsidR="00CC59C8" w:rsidRPr="003C5FC2" w:rsidTr="003C5FC2">
        <w:trPr>
          <w:trHeight w:val="155"/>
        </w:trPr>
        <w:tc>
          <w:tcPr>
            <w:tcW w:w="2882" w:type="pct"/>
            <w:gridSpan w:val="3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Nazwa przedmiotu lub grupy przedmiotów</w:t>
            </w:r>
          </w:p>
        </w:tc>
        <w:tc>
          <w:tcPr>
            <w:tcW w:w="588" w:type="pct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1530" w:type="pct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Suma punktów ECTS dla modułu</w:t>
            </w:r>
          </w:p>
        </w:tc>
      </w:tr>
      <w:tr w:rsidR="00CC59C8" w:rsidRPr="003C5FC2" w:rsidTr="003C5FC2">
        <w:trPr>
          <w:trHeight w:val="155"/>
        </w:trPr>
        <w:tc>
          <w:tcPr>
            <w:tcW w:w="802" w:type="pct"/>
            <w:shd w:val="clear" w:color="auto" w:fill="BFBFBF" w:themeFill="background1" w:themeFillShade="BF"/>
            <w:hideMark/>
          </w:tcPr>
          <w:p w:rsidR="00CC59C8" w:rsidRPr="003C5FC2" w:rsidRDefault="00CC59C8" w:rsidP="00576622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MK1S_01</w:t>
            </w:r>
          </w:p>
        </w:tc>
        <w:tc>
          <w:tcPr>
            <w:tcW w:w="4198" w:type="pct"/>
            <w:gridSpan w:val="4"/>
            <w:shd w:val="clear" w:color="auto" w:fill="BFBFBF" w:themeFill="background1" w:themeFillShade="BF"/>
          </w:tcPr>
          <w:p w:rsidR="00CC59C8" w:rsidRPr="003C5FC2" w:rsidRDefault="00CC59C8" w:rsidP="00576622">
            <w:pPr>
              <w:spacing w:before="120" w:after="120" w:line="276" w:lineRule="auto"/>
              <w:rPr>
                <w:rFonts w:cs="Tahoma"/>
                <w:bCs/>
                <w:sz w:val="20"/>
                <w:szCs w:val="20"/>
              </w:rPr>
            </w:pPr>
            <w:r w:rsidRPr="003C5FC2">
              <w:rPr>
                <w:b/>
                <w:bCs/>
                <w:sz w:val="20"/>
                <w:szCs w:val="20"/>
              </w:rPr>
              <w:t>Przedmioty misyjne i ogólnouniwersyteckie</w:t>
            </w:r>
          </w:p>
        </w:tc>
      </w:tr>
      <w:tr w:rsidR="00CC59C8" w:rsidRPr="003C5FC2" w:rsidTr="00576622">
        <w:trPr>
          <w:trHeight w:val="680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bCs/>
                <w:sz w:val="20"/>
                <w:szCs w:val="20"/>
              </w:rPr>
            </w:pPr>
            <w:r w:rsidRPr="003C5FC2">
              <w:rPr>
                <w:rFonts w:cs="Tahoma"/>
                <w:bCs/>
                <w:sz w:val="20"/>
                <w:szCs w:val="20"/>
              </w:rPr>
              <w:t>Przedmioty misyjne:</w:t>
            </w:r>
          </w:p>
          <w:p w:rsidR="00CC59C8" w:rsidRPr="003C5FC2" w:rsidRDefault="00CC59C8" w:rsidP="00576622">
            <w:pPr>
              <w:spacing w:line="276" w:lineRule="auto"/>
              <w:ind w:left="355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bCs/>
                <w:i/>
                <w:sz w:val="20"/>
                <w:szCs w:val="20"/>
              </w:rPr>
              <w:t>Logika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530" w:type="pct"/>
            <w:vMerge w:val="restart"/>
            <w:vAlign w:val="center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13</w:t>
            </w:r>
          </w:p>
        </w:tc>
      </w:tr>
      <w:tr w:rsidR="00CC59C8" w:rsidRPr="003C5FC2" w:rsidTr="003C5FC2">
        <w:trPr>
          <w:trHeight w:val="318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ind w:left="355"/>
              <w:rPr>
                <w:rFonts w:cs="Tahoma"/>
                <w:bCs/>
                <w:sz w:val="20"/>
                <w:szCs w:val="20"/>
              </w:rPr>
            </w:pPr>
            <w:r w:rsidRPr="003C5FC2">
              <w:rPr>
                <w:rFonts w:cs="Tahoma"/>
                <w:bCs/>
                <w:i/>
                <w:sz w:val="20"/>
                <w:szCs w:val="20"/>
              </w:rPr>
              <w:t xml:space="preserve">Historia filozofii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263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ind w:left="355"/>
              <w:rPr>
                <w:rFonts w:cs="Tahoma"/>
                <w:bCs/>
                <w:i/>
                <w:sz w:val="20"/>
                <w:szCs w:val="20"/>
              </w:rPr>
            </w:pPr>
            <w:r w:rsidRPr="003C5FC2">
              <w:rPr>
                <w:rFonts w:cs="Tahoma"/>
                <w:bCs/>
                <w:i/>
                <w:sz w:val="20"/>
                <w:szCs w:val="20"/>
              </w:rPr>
              <w:t>Etyka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Przedmioty ogólnouniwersyteckie</w:t>
            </w:r>
          </w:p>
          <w:p w:rsidR="00CC59C8" w:rsidRPr="003C5FC2" w:rsidRDefault="00CC59C8" w:rsidP="00576622">
            <w:pPr>
              <w:spacing w:line="276" w:lineRule="auto"/>
              <w:ind w:left="355"/>
              <w:rPr>
                <w:i/>
                <w:sz w:val="20"/>
                <w:szCs w:val="20"/>
              </w:rPr>
            </w:pPr>
            <w:r w:rsidRPr="003C5FC2">
              <w:rPr>
                <w:i/>
                <w:sz w:val="20"/>
                <w:szCs w:val="20"/>
              </w:rPr>
              <w:t xml:space="preserve">Język obcy (nowożytny)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ind w:left="355"/>
              <w:rPr>
                <w:i/>
                <w:sz w:val="20"/>
                <w:szCs w:val="20"/>
              </w:rPr>
            </w:pPr>
            <w:r w:rsidRPr="003C5FC2">
              <w:rPr>
                <w:i/>
                <w:sz w:val="20"/>
                <w:szCs w:val="20"/>
              </w:rPr>
              <w:t>Wychowanie fizyczne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0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802" w:type="pct"/>
            <w:shd w:val="clear" w:color="auto" w:fill="BFBFBF" w:themeFill="background1" w:themeFillShade="BF"/>
            <w:hideMark/>
          </w:tcPr>
          <w:p w:rsidR="00CC59C8" w:rsidRPr="003C5FC2" w:rsidRDefault="00CC59C8" w:rsidP="00576622">
            <w:pPr>
              <w:spacing w:before="120" w:after="120" w:line="276" w:lineRule="auto"/>
              <w:jc w:val="center"/>
              <w:rPr>
                <w:bCs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MK1S_02</w:t>
            </w:r>
          </w:p>
        </w:tc>
        <w:tc>
          <w:tcPr>
            <w:tcW w:w="4198" w:type="pct"/>
            <w:gridSpan w:val="4"/>
            <w:shd w:val="clear" w:color="auto" w:fill="BFBFBF" w:themeFill="background1" w:themeFillShade="BF"/>
          </w:tcPr>
          <w:p w:rsidR="00CC59C8" w:rsidRPr="003C5FC2" w:rsidRDefault="00CC59C8" w:rsidP="00576622">
            <w:pPr>
              <w:spacing w:before="120" w:after="120" w:line="276" w:lineRule="auto"/>
              <w:rPr>
                <w:rFonts w:cs="Tahoma"/>
                <w:bCs/>
                <w:sz w:val="20"/>
                <w:szCs w:val="20"/>
              </w:rPr>
            </w:pPr>
            <w:r w:rsidRPr="003C5FC2">
              <w:rPr>
                <w:b/>
                <w:bCs/>
                <w:sz w:val="20"/>
                <w:szCs w:val="20"/>
              </w:rPr>
              <w:t>Treści ogólnokształcące</w:t>
            </w:r>
          </w:p>
        </w:tc>
      </w:tr>
      <w:tr w:rsidR="00CC59C8" w:rsidRPr="003C5FC2" w:rsidTr="0057662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bCs/>
                <w:sz w:val="20"/>
                <w:szCs w:val="20"/>
              </w:rPr>
              <w:t xml:space="preserve">Prawo i ochrona własności intelektualnej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7</w:t>
            </w:r>
          </w:p>
        </w:tc>
        <w:tc>
          <w:tcPr>
            <w:tcW w:w="1530" w:type="pct"/>
            <w:vMerge w:val="restart"/>
            <w:vAlign w:val="center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28</w:t>
            </w: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 xml:space="preserve">Matematyka i metody ilościowe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21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802" w:type="pct"/>
            <w:shd w:val="clear" w:color="auto" w:fill="BFBFBF" w:themeFill="background1" w:themeFillShade="BF"/>
            <w:vAlign w:val="center"/>
            <w:hideMark/>
          </w:tcPr>
          <w:p w:rsidR="00CC59C8" w:rsidRPr="003C5FC2" w:rsidRDefault="00CC59C8" w:rsidP="00576622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MK1S_03</w:t>
            </w:r>
          </w:p>
        </w:tc>
        <w:tc>
          <w:tcPr>
            <w:tcW w:w="4198" w:type="pct"/>
            <w:gridSpan w:val="4"/>
            <w:shd w:val="clear" w:color="auto" w:fill="BFBFBF" w:themeFill="background1" w:themeFillShade="BF"/>
            <w:vAlign w:val="center"/>
          </w:tcPr>
          <w:p w:rsidR="00CC59C8" w:rsidRPr="003C5FC2" w:rsidRDefault="00CC59C8" w:rsidP="00576622">
            <w:pPr>
              <w:spacing w:before="120" w:after="120" w:line="276" w:lineRule="auto"/>
              <w:rPr>
                <w:i/>
                <w:iCs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Treści z zakresu ekonomii i nauk pokrewnych</w:t>
            </w:r>
          </w:p>
        </w:tc>
      </w:tr>
      <w:tr w:rsidR="00CC59C8" w:rsidRPr="003C5FC2" w:rsidTr="0057662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  <w:r w:rsidRPr="003C5FC2">
              <w:rPr>
                <w:iCs/>
                <w:sz w:val="20"/>
                <w:szCs w:val="20"/>
              </w:rPr>
              <w:t>Mikroekonomia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5</w:t>
            </w:r>
          </w:p>
        </w:tc>
        <w:tc>
          <w:tcPr>
            <w:tcW w:w="1530" w:type="pct"/>
            <w:vMerge w:val="restart"/>
            <w:vAlign w:val="center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19</w:t>
            </w: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Rachunkowość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i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 xml:space="preserve">Finanse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6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802" w:type="pct"/>
            <w:shd w:val="clear" w:color="auto" w:fill="BFBFBF" w:themeFill="background1" w:themeFillShade="BF"/>
            <w:hideMark/>
          </w:tcPr>
          <w:p w:rsidR="00CC59C8" w:rsidRPr="003C5FC2" w:rsidRDefault="00CC59C8" w:rsidP="00576622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MK1S_04</w:t>
            </w:r>
          </w:p>
        </w:tc>
        <w:tc>
          <w:tcPr>
            <w:tcW w:w="4198" w:type="pct"/>
            <w:gridSpan w:val="4"/>
            <w:shd w:val="clear" w:color="auto" w:fill="BFBFBF" w:themeFill="background1" w:themeFillShade="BF"/>
          </w:tcPr>
          <w:p w:rsidR="00CC59C8" w:rsidRPr="003C5FC2" w:rsidRDefault="00CC59C8" w:rsidP="00576622">
            <w:pPr>
              <w:spacing w:before="120" w:after="120" w:line="276" w:lineRule="auto"/>
              <w:rPr>
                <w:sz w:val="20"/>
                <w:szCs w:val="20"/>
              </w:rPr>
            </w:pPr>
            <w:r w:rsidRPr="003C5FC2">
              <w:rPr>
                <w:b/>
                <w:bCs/>
                <w:sz w:val="20"/>
                <w:szCs w:val="20"/>
              </w:rPr>
              <w:t>Treści z zakresu zarządzania</w:t>
            </w:r>
          </w:p>
        </w:tc>
      </w:tr>
      <w:tr w:rsidR="00CC59C8" w:rsidRPr="003C5FC2" w:rsidTr="0057662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i/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 xml:space="preserve">Podstawy zarządzania i nauki o organizacji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12</w:t>
            </w:r>
          </w:p>
        </w:tc>
        <w:tc>
          <w:tcPr>
            <w:tcW w:w="1530" w:type="pct"/>
            <w:vMerge w:val="restart"/>
            <w:vAlign w:val="center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58</w:t>
            </w: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i/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 xml:space="preserve">Zachowania organizacyjne i zarządzanie zasobami ludzkimi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9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i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Marketing i badania marketingowe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10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iCs/>
                <w:sz w:val="20"/>
                <w:szCs w:val="20"/>
              </w:rPr>
              <w:t xml:space="preserve">Zarządzanie projektami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iCs/>
                <w:sz w:val="20"/>
                <w:szCs w:val="20"/>
              </w:rPr>
              <w:t>Informatyka w zarządzaniu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155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i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Uruchamianie działalności gospodarczej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389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i/>
                <w:sz w:val="20"/>
                <w:szCs w:val="20"/>
              </w:rPr>
            </w:pPr>
            <w:r w:rsidRPr="003C5FC2">
              <w:rPr>
                <w:rFonts w:cs="Tahoma"/>
                <w:iCs/>
                <w:sz w:val="20"/>
                <w:szCs w:val="20"/>
              </w:rPr>
              <w:t xml:space="preserve">Zarządzanie jakością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sz w:val="20"/>
                <w:szCs w:val="20"/>
              </w:rPr>
              <w:t>2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452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 xml:space="preserve">Finanse przedsiębiorstwa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452"/>
        </w:trPr>
        <w:tc>
          <w:tcPr>
            <w:tcW w:w="2826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bCs/>
                <w:i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 xml:space="preserve">Inne wybrane aspekty zarządzania </w:t>
            </w:r>
          </w:p>
        </w:tc>
        <w:tc>
          <w:tcPr>
            <w:tcW w:w="644" w:type="pct"/>
            <w:gridSpan w:val="2"/>
            <w:hideMark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530" w:type="pct"/>
            <w:vMerge/>
            <w:hideMark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452"/>
        </w:trPr>
        <w:tc>
          <w:tcPr>
            <w:tcW w:w="2826" w:type="pct"/>
            <w:gridSpan w:val="2"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Zarządzanie międzynarodowe</w:t>
            </w:r>
          </w:p>
        </w:tc>
        <w:tc>
          <w:tcPr>
            <w:tcW w:w="644" w:type="pct"/>
            <w:gridSpan w:val="2"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1530" w:type="pct"/>
            <w:vMerge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59C8" w:rsidRPr="003C5FC2" w:rsidTr="003C5FC2">
        <w:trPr>
          <w:trHeight w:val="452"/>
        </w:trPr>
        <w:tc>
          <w:tcPr>
            <w:tcW w:w="2826" w:type="pct"/>
            <w:gridSpan w:val="2"/>
          </w:tcPr>
          <w:p w:rsidR="00CC59C8" w:rsidRPr="003C5FC2" w:rsidRDefault="00CC59C8" w:rsidP="00576622">
            <w:pPr>
              <w:spacing w:line="276" w:lineRule="auto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Przedsiębiorczość</w:t>
            </w:r>
          </w:p>
        </w:tc>
        <w:tc>
          <w:tcPr>
            <w:tcW w:w="644" w:type="pct"/>
            <w:gridSpan w:val="2"/>
          </w:tcPr>
          <w:p w:rsidR="00CC59C8" w:rsidRPr="003C5FC2" w:rsidRDefault="00CC59C8" w:rsidP="00576622">
            <w:pPr>
              <w:spacing w:line="276" w:lineRule="auto"/>
              <w:jc w:val="center"/>
              <w:rPr>
                <w:rFonts w:cs="Tahoma"/>
                <w:sz w:val="20"/>
                <w:szCs w:val="20"/>
              </w:rPr>
            </w:pPr>
            <w:r w:rsidRPr="003C5FC2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1530" w:type="pct"/>
            <w:vMerge/>
          </w:tcPr>
          <w:p w:rsidR="00CC59C8" w:rsidRPr="003C5FC2" w:rsidRDefault="00CC59C8" w:rsidP="00576622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24F9E" w:rsidRPr="003C5FC2" w:rsidTr="003C5FC2">
        <w:trPr>
          <w:trHeight w:val="155"/>
        </w:trPr>
        <w:tc>
          <w:tcPr>
            <w:tcW w:w="3470" w:type="pct"/>
            <w:gridSpan w:val="4"/>
            <w:hideMark/>
          </w:tcPr>
          <w:p w:rsidR="00524F9E" w:rsidRPr="003C5FC2" w:rsidRDefault="00524F9E" w:rsidP="00576622">
            <w:pPr>
              <w:spacing w:line="276" w:lineRule="auto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3C5FC2">
              <w:rPr>
                <w:rFonts w:cs="Tahoma"/>
                <w:b/>
                <w:bCs/>
                <w:sz w:val="20"/>
                <w:szCs w:val="20"/>
              </w:rPr>
              <w:t>Suma punktów ECTS</w:t>
            </w:r>
          </w:p>
        </w:tc>
        <w:tc>
          <w:tcPr>
            <w:tcW w:w="1530" w:type="pct"/>
            <w:hideMark/>
          </w:tcPr>
          <w:p w:rsidR="00524F9E" w:rsidRPr="003C5FC2" w:rsidRDefault="00524F9E" w:rsidP="0057662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C5FC2">
              <w:rPr>
                <w:b/>
                <w:sz w:val="20"/>
                <w:szCs w:val="20"/>
              </w:rPr>
              <w:t>118</w:t>
            </w:r>
          </w:p>
        </w:tc>
      </w:tr>
    </w:tbl>
    <w:p w:rsidR="00524F9E" w:rsidRDefault="00524F9E"/>
    <w:p w:rsidR="003C5FC2" w:rsidRDefault="00524F9E" w:rsidP="003C5FC2">
      <w:pPr>
        <w:jc w:val="center"/>
        <w:rPr>
          <w:b/>
        </w:rPr>
      </w:pPr>
      <w:r w:rsidRPr="00524F9E">
        <w:rPr>
          <w:b/>
        </w:rPr>
        <w:t>Lista przedmiotów uznanych za obowiązkowe na kierunku zarządzanie, studia stacjonarne I stopnia, cykl 201</w:t>
      </w:r>
      <w:r w:rsidR="00576622">
        <w:rPr>
          <w:b/>
        </w:rPr>
        <w:t>8/</w:t>
      </w:r>
      <w:r w:rsidRPr="00524F9E">
        <w:rPr>
          <w:b/>
        </w:rPr>
        <w:t>2019, dla studentów korzystających z programów</w:t>
      </w:r>
      <w:r>
        <w:rPr>
          <w:b/>
        </w:rPr>
        <w:t xml:space="preserve"> </w:t>
      </w:r>
      <w:proofErr w:type="spellStart"/>
      <w:r w:rsidR="003C5FC2" w:rsidRPr="00524F9E">
        <w:rPr>
          <w:b/>
        </w:rPr>
        <w:t>mobilnościowych</w:t>
      </w:r>
      <w:proofErr w:type="spellEnd"/>
    </w:p>
    <w:p w:rsidR="003C5FC2" w:rsidRDefault="003C5FC2" w:rsidP="00524F9E">
      <w:pPr>
        <w:jc w:val="center"/>
        <w:rPr>
          <w:b/>
        </w:rPr>
      </w:pPr>
    </w:p>
    <w:p w:rsidR="003C5FC2" w:rsidRDefault="003C5FC2" w:rsidP="003C5FC2">
      <w:pPr>
        <w:rPr>
          <w:b/>
        </w:rPr>
      </w:pPr>
    </w:p>
    <w:p w:rsidR="003C5FC2" w:rsidRDefault="003C5FC2" w:rsidP="003C5FC2">
      <w:pPr>
        <w:rPr>
          <w:b/>
        </w:rPr>
      </w:pPr>
    </w:p>
    <w:p w:rsidR="00524F9E" w:rsidRPr="00524F9E" w:rsidRDefault="00524F9E" w:rsidP="00524F9E">
      <w:pPr>
        <w:jc w:val="center"/>
        <w:rPr>
          <w:b/>
        </w:rPr>
      </w:pPr>
    </w:p>
    <w:p w:rsidR="00524F9E" w:rsidRDefault="00524F9E"/>
    <w:sectPr w:rsidR="00524F9E" w:rsidSect="00524F9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C1" w:rsidRDefault="004229C1" w:rsidP="00524F9E">
      <w:r>
        <w:separator/>
      </w:r>
    </w:p>
  </w:endnote>
  <w:endnote w:type="continuationSeparator" w:id="0">
    <w:p w:rsidR="004229C1" w:rsidRDefault="004229C1" w:rsidP="005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C1" w:rsidRDefault="004229C1" w:rsidP="00524F9E">
      <w:r>
        <w:separator/>
      </w:r>
    </w:p>
  </w:footnote>
  <w:footnote w:type="continuationSeparator" w:id="0">
    <w:p w:rsidR="004229C1" w:rsidRDefault="004229C1" w:rsidP="00524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9C8"/>
    <w:rsid w:val="003C5FC2"/>
    <w:rsid w:val="004229C1"/>
    <w:rsid w:val="00524F9E"/>
    <w:rsid w:val="00576622"/>
    <w:rsid w:val="00A61283"/>
    <w:rsid w:val="00CC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CC59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C59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C59C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C59C8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C5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24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4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4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4F9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45D26-9CDE-4968-857D-B640970E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2018-09-10T09:23:00Z</dcterms:created>
  <dcterms:modified xsi:type="dcterms:W3CDTF">2018-09-10T09:58:00Z</dcterms:modified>
</cp:coreProperties>
</file>