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4"/>
        </w:numPr>
        <w:rPr>
          <w:b/>
          <w:b/>
        </w:rPr>
      </w:pPr>
      <w:r>
        <w:rPr>
          <w:b/>
        </w:rPr>
        <w:t>Dane podstawowe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Nazwa przedmiotu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Systemy medialne na świecie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Nazwa przedmiotu w języku angielskim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Media systems in the world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Kierunek studiów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Stosunki międzynarodowe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Poziom studiów (I, II, jednolite magisterskie)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Studia I stopnia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Forma studiów (stacjonarne, niestacjonarne)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stacjonarne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Dyscyplina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Nauki o polityce i administracji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Język wykładowy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Język 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Koordynator przedmiotu/osoba odpowiedzialna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Dr Olga Białek-Szwed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 xml:space="preserve">Forma zajęć </w:t>
            </w:r>
            <w:r>
              <w:rPr>
                <w:i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semestr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Punkty ECTS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II</w:t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4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translatorium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33"/>
        <w:gridCol w:w="6978"/>
      </w:tblGrid>
      <w:tr>
        <w:trPr/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Wymagania wstępne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Brak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5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Zdobycie i uporządkowanie wiedzy o elementach oraz funkcjonowaniu systemów medialnych w wybranych krajach na świecie.</w:t>
            </w:r>
          </w:p>
        </w:tc>
      </w:tr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Geneza, ewolucja i perspektywy wybranych systemów medialnych na świecie.</w:t>
            </w:r>
          </w:p>
        </w:tc>
      </w:tr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6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9"/>
        <w:gridCol w:w="5953"/>
        <w:gridCol w:w="2160"/>
      </w:tblGrid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Symbol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Opis efektu przedmiotowego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Odniesienie do efektu kierunkowego</w:t>
            </w:r>
          </w:p>
        </w:tc>
      </w:tr>
      <w:tr>
        <w:trPr/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WIEDZA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K_W04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Absolwent zna i rozumie teorię i praktykę w zakresie funkcjonowania międzynarodowych P6U_W2 P6S_WK2 Załącznik nr 2 systemów oraz instytucji społecznych i politycznych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P6U_W2,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P6S_WK2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K_W06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Absolwent zna i rozumie w sposób pogłębiony normy etyczne obowiązujące w relacjach międzyludzkich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P6U_W1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P6S_WK1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P6S_WK2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asciiTheme="minorHAnsi" w:eastAsiaTheme="minorHAnsi" w:hAnsiTheme="minorHAnsi"/>
              </w:rPr>
            </w:pPr>
            <w:r>
              <w:rPr>
                <w:rFonts w:eastAsia="Calibri" w:eastAsiaTheme="minorHAnsi"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UMIEJĘTNOŚCI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K_U05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Absolwent potrafi prawidłowo oceniać zagrożenia w stosunkach międzynarodowych, a także identyfikować ich przyczyny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P6U_U1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P6S_UW1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K_U07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Absolwent potrafi pozyskiwać, przechowywać oraz przetwarzać informacje z wykorzystaniem nowoczesnych technologii informacyjnych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P6U_U1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P6S_UW1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asciiTheme="minorHAnsi" w:eastAsiaTheme="minorHAnsi" w:hAnsiTheme="minorHAnsi"/>
              </w:rPr>
            </w:pPr>
            <w:r>
              <w:rPr>
                <w:rFonts w:eastAsia="Calibri" w:eastAsiaTheme="minorHAnsi"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KOMPETENCJE SPOŁECZNE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K_K02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Absolwent jest gotów do myślenia oraz działania w sposób przedsiębiorczy oraz prospołeczny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P6U_K2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P6S_K01 P6S_K02 P6S_K03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asciiTheme="minorHAnsi" w:eastAsiaTheme="minorHAnsi" w:hAnsiTheme="minorHAnsi"/>
              </w:rPr>
            </w:pPr>
            <w:r>
              <w:rPr>
                <w:rFonts w:eastAsia="Calibri" w:eastAsiaTheme="minorHAnsi"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asciiTheme="minorHAnsi" w:eastAsiaTheme="minorHAnsi" w:hAnsiTheme="minorHAnsi"/>
              </w:rPr>
            </w:pPr>
            <w:r>
              <w:rPr>
                <w:rFonts w:eastAsia="Calibri" w:eastAsiaTheme="minorHAnsi"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7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1"/>
                <w:numId w:val="8"/>
              </w:numPr>
              <w:spacing w:lineRule="auto" w:line="240" w:before="0" w:after="0"/>
              <w:contextualSpacing/>
              <w:rPr/>
            </w:pPr>
            <w:r>
              <w:rPr/>
              <w:t>Współczesne systemy medialne – wprowadzenie do tematu wykładów.</w:t>
            </w:r>
          </w:p>
          <w:p>
            <w:pPr>
              <w:pStyle w:val="ListParagraph"/>
              <w:widowControl w:val="false"/>
              <w:numPr>
                <w:ilvl w:val="1"/>
                <w:numId w:val="9"/>
              </w:numPr>
              <w:spacing w:lineRule="auto" w:line="240" w:before="0" w:after="0"/>
              <w:contextualSpacing/>
              <w:rPr/>
            </w:pPr>
            <w:r>
              <w:rPr/>
              <w:t>Kontekst polityczny systemów medialnych.</w:t>
            </w:r>
          </w:p>
          <w:p>
            <w:pPr>
              <w:pStyle w:val="ListParagraph"/>
              <w:widowControl w:val="false"/>
              <w:numPr>
                <w:ilvl w:val="1"/>
                <w:numId w:val="10"/>
              </w:numPr>
              <w:spacing w:lineRule="auto" w:line="240" w:before="0" w:after="0"/>
              <w:contextualSpacing/>
              <w:rPr/>
            </w:pPr>
            <w:r>
              <w:rPr/>
              <w:t>Model spolaryzowanego pluralizmu lub model śródziemnomorski.</w:t>
            </w:r>
          </w:p>
          <w:p>
            <w:pPr>
              <w:pStyle w:val="ListParagraph"/>
              <w:widowControl w:val="false"/>
              <w:numPr>
                <w:ilvl w:val="1"/>
                <w:numId w:val="11"/>
              </w:numPr>
              <w:spacing w:lineRule="auto" w:line="240" w:before="0" w:after="0"/>
              <w:contextualSpacing/>
              <w:rPr/>
            </w:pPr>
            <w:r>
              <w:rPr/>
              <w:t>Model demokratycznego korporacjonizmu lub model pólnocno-środkowoeuropejski.</w:t>
            </w:r>
          </w:p>
          <w:p>
            <w:pPr>
              <w:pStyle w:val="ListParagraph"/>
              <w:widowControl w:val="false"/>
              <w:numPr>
                <w:ilvl w:val="1"/>
                <w:numId w:val="12"/>
              </w:numPr>
              <w:spacing w:lineRule="auto" w:line="240" w:before="0" w:after="0"/>
              <w:contextualSpacing/>
              <w:rPr/>
            </w:pPr>
            <w:r>
              <w:rPr/>
              <w:t>Model liberalny lub model północnoatlantycki.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pacing w:lineRule="auto" w:line="240" w:before="0" w:after="0"/>
              <w:contextualSpacing/>
              <w:rPr/>
            </w:pPr>
            <w:r>
              <w:rPr/>
              <w:t>System medialny Japonii.</w:t>
            </w:r>
          </w:p>
          <w:p>
            <w:pPr>
              <w:pStyle w:val="ListParagraph"/>
              <w:widowControl w:val="false"/>
              <w:numPr>
                <w:ilvl w:val="1"/>
                <w:numId w:val="14"/>
              </w:numPr>
              <w:spacing w:lineRule="auto" w:line="240" w:before="0" w:after="0"/>
              <w:contextualSpacing/>
              <w:rPr/>
            </w:pPr>
            <w:r>
              <w:rPr/>
              <w:t>System medialny Hiszpanii</w:t>
            </w:r>
          </w:p>
          <w:p>
            <w:pPr>
              <w:pStyle w:val="ListParagraph"/>
              <w:widowControl w:val="false"/>
              <w:numPr>
                <w:ilvl w:val="1"/>
                <w:numId w:val="15"/>
              </w:numPr>
              <w:spacing w:lineRule="auto" w:line="240" w:before="0" w:after="0"/>
              <w:contextualSpacing/>
              <w:rPr/>
            </w:pPr>
            <w:r>
              <w:rPr/>
              <w:t>System medialny Austrii.</w:t>
            </w:r>
          </w:p>
          <w:p>
            <w:pPr>
              <w:pStyle w:val="ListParagraph"/>
              <w:widowControl w:val="false"/>
              <w:numPr>
                <w:ilvl w:val="1"/>
                <w:numId w:val="16"/>
              </w:numPr>
              <w:spacing w:lineRule="auto" w:line="240" w:before="0" w:after="0"/>
              <w:contextualSpacing/>
              <w:rPr/>
            </w:pPr>
            <w:r>
              <w:rPr/>
              <w:t>System medialny Norwegii.</w:t>
            </w:r>
          </w:p>
          <w:p>
            <w:pPr>
              <w:pStyle w:val="ListParagraph"/>
              <w:widowControl w:val="false"/>
              <w:numPr>
                <w:ilvl w:val="1"/>
                <w:numId w:val="17"/>
              </w:numPr>
              <w:spacing w:lineRule="auto" w:line="240" w:before="0" w:after="0"/>
              <w:contextualSpacing/>
              <w:rPr/>
            </w:pPr>
            <w:r>
              <w:rPr/>
              <w:t>System medialny Wielkiej Brytanii.</w:t>
            </w:r>
          </w:p>
          <w:p>
            <w:pPr>
              <w:pStyle w:val="ListParagraph"/>
              <w:widowControl w:val="false"/>
              <w:numPr>
                <w:ilvl w:val="1"/>
                <w:numId w:val="18"/>
              </w:numPr>
              <w:spacing w:lineRule="auto" w:line="240" w:before="0" w:after="0"/>
              <w:contextualSpacing/>
              <w:rPr/>
            </w:pPr>
            <w:r>
              <w:rPr/>
              <w:t>Amerykański rynek medialny (na przykładzie rynku telewizyjnego).</w:t>
            </w:r>
          </w:p>
          <w:p>
            <w:pPr>
              <w:pStyle w:val="ListParagraph"/>
              <w:widowControl w:val="false"/>
              <w:numPr>
                <w:ilvl w:val="1"/>
                <w:numId w:val="19"/>
              </w:numPr>
              <w:spacing w:lineRule="auto" w:line="240" w:before="0" w:after="0"/>
              <w:contextualSpacing/>
              <w:rPr/>
            </w:pPr>
            <w:r>
              <w:rPr/>
              <w:t>Rosyjski rynek medialny (na przykładzie nowych mediów).</w:t>
            </w:r>
          </w:p>
          <w:p>
            <w:pPr>
              <w:pStyle w:val="ListParagraph"/>
              <w:widowControl w:val="false"/>
              <w:numPr>
                <w:ilvl w:val="1"/>
                <w:numId w:val="20"/>
              </w:numPr>
              <w:spacing w:lineRule="auto" w:line="240" w:before="0" w:after="0"/>
              <w:contextualSpacing/>
              <w:rPr/>
            </w:pPr>
            <w:r>
              <w:rPr/>
              <w:t>Czeski system medialny (na przykładzie systemu prasowego).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9"/>
        <w:gridCol w:w="2695"/>
        <w:gridCol w:w="2834"/>
        <w:gridCol w:w="2583"/>
      </w:tblGrid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Symbol efektu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Metody dydaktyczne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Metody weryfikacji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Sposoby dokumentacji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</w:tr>
      <w:tr>
        <w:trPr/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WIEDZA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K_W04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Wykład konwencjonalny, wykład problemowy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Egzamin ustny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Dokumentacja własna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K_W06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Wykład konwencjonalny, wykład problemowy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Egzamin ustny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Dokumentacja własna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asciiTheme="minorHAnsi" w:eastAsiaTheme="minorHAnsi" w:hAnsiTheme="minorHAnsi"/>
              </w:rPr>
            </w:pPr>
            <w:r>
              <w:rPr>
                <w:rFonts w:eastAsia="Calibri" w:eastAsiaTheme="minorHAnsi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UMIEJĘTNOŚCI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K_U05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Wykład konwencjonalny, wykład problemowy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Egzamin ustny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Dokumentacja własna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K_U07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Wykład konwencjonalny, wykład problemowy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Egzamin ustny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Dokumentacja własna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asciiTheme="minorHAnsi" w:eastAsiaTheme="minorHAnsi" w:hAnsiTheme="minorHAnsi"/>
              </w:rPr>
            </w:pPr>
            <w:r>
              <w:rPr>
                <w:rFonts w:eastAsia="Calibri" w:eastAsiaTheme="minorHAnsi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KOMPETENCJE SPOŁECZNE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K_K02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Wykład konwencjonalny, wykład problemowy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Egzamin ustny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Dokumentacja własna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asciiTheme="minorHAnsi" w:eastAsiaTheme="minorHAnsi" w:hAnsiTheme="minorHAnsi"/>
              </w:rPr>
            </w:pPr>
            <w:r>
              <w:rPr>
                <w:rFonts w:eastAsia="Calibri" w:eastAsiaTheme="minorHAnsi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asciiTheme="minorHAnsi" w:eastAsiaTheme="minorHAnsi" w:hAnsiTheme="minorHAnsi"/>
              </w:rPr>
            </w:pPr>
            <w:r>
              <w:rPr>
                <w:rFonts w:eastAsia="Calibri" w:eastAsiaTheme="minorHAnsi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2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spacing w:lineRule="auto" w:line="360" w:before="0" w:after="0"/>
        <w:rPr/>
      </w:pPr>
      <w:r>
        <w:rPr/>
        <w:t>Sposób weryfikacji zakładanych efektów kształcenia: egzamin ustny.</w:t>
      </w:r>
    </w:p>
    <w:p>
      <w:pPr>
        <w:pStyle w:val="Normal"/>
        <w:spacing w:lineRule="auto" w:line="360" w:before="0" w:after="0"/>
        <w:rPr/>
      </w:pPr>
      <w:r>
        <w:rPr/>
        <w:t>Ocena ndst. – Student nie potrafi scharakteryzować systemów medialnych państw, które były prezentowane na wykładach. Nie potrafi wyjaśnić wpływu mediów na systemy polityczne i społeczno-gospodarcze tych państw.</w:t>
      </w:r>
    </w:p>
    <w:p>
      <w:pPr>
        <w:pStyle w:val="Normal"/>
        <w:spacing w:lineRule="auto" w:line="360" w:before="0" w:after="0"/>
        <w:rPr/>
      </w:pPr>
      <w:r>
        <w:rPr/>
        <w:t>Ocena dst. – Student w sposób ogólny potrafi scharakteryzować systemy medialne państw, które były prezentowane na wykładach. Potrafi w sposób ogólny wyjaśnić wpływ mediów na systemy polityczne i społeczno-gospodarcze tych państw.</w:t>
      </w:r>
    </w:p>
    <w:p>
      <w:pPr>
        <w:pStyle w:val="Normal"/>
        <w:spacing w:lineRule="auto" w:line="360" w:before="0" w:after="0"/>
        <w:rPr/>
      </w:pPr>
      <w:r>
        <w:rPr/>
        <w:t>Ocena db. – Student dobrze potrafi scharakteryzować systemy medialne państw, które były prezentowane na wykładach. Potrafi w sposób dobry wyjaśnić wpływ mediów na systemy polityczne i społeczno-gospodarcze tych państw.</w:t>
      </w:r>
    </w:p>
    <w:p>
      <w:pPr>
        <w:pStyle w:val="Normal"/>
        <w:spacing w:lineRule="auto" w:line="360" w:before="0" w:after="0"/>
        <w:rPr/>
      </w:pPr>
      <w:r>
        <w:rPr/>
        <w:t>Ocena bdb. – Student w bardzo dobrym stopniu zna oraz potrafi scharakteryzować systemy medialne państw, które były prezentowane na wykładach. Potrafi bardzo dobrze wyjaśnić wpływ mediów na systemy polityczne i społeczno-gospodarcze tych państw.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23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Forma aktywności studenta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Liczba godzin</w:t>
            </w:r>
          </w:p>
        </w:tc>
      </w:tr>
      <w:tr>
        <w:trPr>
          <w:trHeight w:val="620" w:hRule="atLeas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Liczba godzin kontaktowych z nauczycielem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30 godz.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Liczba godzin indywidualnej pracy studenta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90 godz.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4"/>
        </w:numPr>
        <w:rPr>
          <w:b/>
          <w:b/>
        </w:rPr>
      </w:pPr>
      <w:r>
        <w:rPr>
          <w:b/>
        </w:rPr>
        <w:t>Literatura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Literatura podstawowa</w:t>
            </w:r>
          </w:p>
        </w:tc>
      </w:tr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color w:val="333333"/>
                <w:sz w:val="20"/>
                <w:szCs w:val="20"/>
              </w:rPr>
              <w:t>Adamowski J., Golka B. Stasiak-Jazukiewicz E., "Wybrane zagraniczne systemy informacji masowej", Wyd. Elipsa, Warszawa 1996.</w:t>
              <w:br/>
              <w:t>Bartoszcze R., Słupek L., "Telewizja - dobro kultury czy element rynku. Transformacja telewizji publicznej w krajach Unii Europejskiej, Wyd. Wyższej Szkoły Zarządzania, Rzeszów 2001.</w:t>
              <w:br/>
              <w:t>Bladocha B. H., "Wolność słowa w systemie medialnym Wielkiej Brytanii", Wyd. Uniwersytetu Mikołaja Kopernika, Toruń 2003.</w:t>
              <w:br/>
              <w:t>Flew T., "Media globalne", przekł. M. Lorek, Wyd. Uniwersytetu Jagiellońskiego, Kraków 2010.</w:t>
              <w:br/>
              <w:t>Goban-Klas, "Media i komunikowanie masowe. Teorie analizy prasy, radia, telewizji i Internetu", Wyd. PWN, Warszawa 2005.</w:t>
              <w:br/>
              <w:t>Golka B., "System medialny Stanów Zjednoczonych", Wyd. WSiP, Warszawa 2004.</w:t>
              <w:br/>
              <w:t>Hallin D. C., Mancini P., "Systemy medialne. Trzy modele mediów i polityki w ujęciu porównawczym", przekł. M. Lorek, Wyd. Uniwersytetu Jagiellońskiego, Kraków 2010.</w:t>
              <w:br/>
              <w:t>"Media masowe na świecie. Modele systemów medialnych i ich dynamika rozwojowa", red. B. Dobek-Ostrowska, Wyd. Uniwersytetu Wrocławskiego, Wrocław 2011</w:t>
            </w:r>
          </w:p>
        </w:tc>
      </w:tr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Literatura uzupełniająca</w:t>
            </w:r>
          </w:p>
        </w:tc>
      </w:tr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rFonts w:cs="Arial" w:ascii="Arial" w:hAnsi="Arial"/>
                <w:color w:val="333333"/>
                <w:sz w:val="20"/>
                <w:szCs w:val="20"/>
                <w:shd w:fill="EEEEEE" w:val="clear"/>
              </w:rPr>
              <w:t>Mrozowski M., "Media masowe. Władza, rozrywka, biznes", Wyd. Aspra-Jr, Warszawa 2001.</w:t>
            </w:r>
            <w:r>
              <w:rPr>
                <w:rFonts w:cs="Arial" w:ascii="Arial" w:hAnsi="Arial"/>
                <w:color w:val="333333"/>
                <w:sz w:val="20"/>
                <w:szCs w:val="20"/>
              </w:rPr>
              <w:br/>
            </w:r>
            <w:r>
              <w:rPr>
                <w:rFonts w:cs="Arial" w:ascii="Arial" w:hAnsi="Arial"/>
                <w:color w:val="333333"/>
                <w:sz w:val="20"/>
                <w:szCs w:val="20"/>
                <w:shd w:fill="EEEEEE" w:val="clear"/>
              </w:rPr>
              <w:t>Ociepka B., "Dla kogo telewizja? Model publiczny w postkomunistycznej Europie Środkowej", Wyd. Uniwersytetu Wrocławskiego, Wrocław 2003.</w:t>
            </w:r>
            <w:r>
              <w:rPr>
                <w:rFonts w:cs="Arial" w:ascii="Arial" w:hAnsi="Arial"/>
                <w:color w:val="333333"/>
                <w:sz w:val="20"/>
                <w:szCs w:val="20"/>
              </w:rPr>
              <w:br/>
            </w:r>
            <w:r>
              <w:rPr>
                <w:rFonts w:cs="Arial" w:ascii="Arial" w:hAnsi="Arial"/>
                <w:color w:val="333333"/>
                <w:sz w:val="20"/>
                <w:szCs w:val="20"/>
                <w:shd w:fill="EEEEEE" w:val="clear"/>
              </w:rPr>
              <w:t>"Transformacja systemów medialnych w krajach Europy Środkowo - Wschodniej po 1989 roku,", red. B. Dobek-Ostrowska, Wyd. Uniwersytetu Wrocławskiego 2002.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45a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a45a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LibreOffice/7.0.4.2$Windows_X86_64 LibreOffice_project/dcf040e67528d9187c66b2379df5ea4407429775</Application>
  <AppVersion>15.0000</AppVersion>
  <Pages>5</Pages>
  <Words>722</Words>
  <Characters>5097</Characters>
  <CharactersWithSpaces>5671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2022-03-28T13:16:00Z</dcterms:created>
  <dc:creator>SECURA 96</dc:creator>
  <dc:description/>
  <dc:language>pl-PL</dc:language>
  <cp:lastModifiedBy/>
  <dcterms:modified xsi:type="dcterms:W3CDTF">2022-04-12T14:38:02Z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