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Bezpieczeństwo Europy Wschodniej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Security in Eastern Europe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Aleksandra Kuczyńska-Zonik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1: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wskazanie studentom problemów i wyzwań Europy Wschodniej w międzynarodowym systemie bezpieczeństwa.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C2: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wprowadzenie pojęć, słownictwa i teorii międzynarodowego systemu bezpieczeństwa w odniesieniu do bezpieczeństwa w Europie Wschodniej.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3: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ykorzystanie tych koncepcji i teorii do analizy współczesnych wyzwań związanych z różnymi sektorami bezpieczeństwa w Europie Wschodniej.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dotyczącą głównych aktorów stosunków międzynarodowych w regionie Europy Wschodniej i wzajemnych relacji pomiędzy nimi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na temat podstawowych elementów i koncepcji międzynarodowego systemu bezpieczeństwa oraz wyzwań dla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zdefiniować współczesne wyzwania związane z różnymi sektorami bezpieczeństwa w regionie Europy Wschodniej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zastosować koncepcje i teorie do analizy problemów bezpieczeństwa, prawidłowo oceniać zagrożenia oraz identyfikować ich przyczyny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rozwiązywać konkretne problemy, prognozować działania oraz przewidywać skutki tych że działań, wykorzystując przy tym nabytą wiedzę teoretyczną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działać w sytuacjach w sytuacjach kryzysowych z uwzględnieniem wyzwań w regionie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 Europy Wschodniej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Region Europy Wschodniej w ujęciu historycznym, kulturowym i przestrzennym. Podziały Europy Wschodniej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Rozpad Związku Radzieckiego i jego konsekwencje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Systemy bezpieczeństwa na obszarze WNP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Współpraca gospodarcza i energetyczna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Rosji wobec państw Europy Wschodniej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Ukraina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Białoruś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Państwa Kaukazu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Konflikty na obszarze poradzieckim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Procesy demokratyzacji i kolorowe rewolucje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Wykład, dyskusja 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Wykład, dyskusja 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Wykład, dyskusja 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Prace dodatkowe (eseje, referaty): 10%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Aktywność na zajęciach: 30%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Egzamin: 60%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Pietraś, Podziały przestrzeni Europy Środkowo-Wschodniej, „Rocznik Instytutu Europy Środkowo-Wschodniej” 17 (2019), z. 1, s. 11-49.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S. Bieleń, Tożsamość międzynarodowa Federacji Rosyjskiej, Warszawa 2006.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R. Mazur, Wspólnota Niepodległych Państw – integracja czy dezintegracja?, „Wschodnioznawstwo” 2007, nr 1, s. 169-189.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Federacja Rosyjska – Wspólnota Niepodległych Państw, red. T. Kapuśniak, IEŚW – Wydawnictwo KUL, Lublin – Warszawa, 2011.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M. Minkina, Kolorowe rewolucje w przestrzeni poradzieckiej. Geneza. Istota. Skutki, Rytm Oficyna Wydawnicza 2018.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Ukraina w stosunkach międzynarodowych, red. M. Pietraś, T. Kapuśniak, Wydawnictwo UMCS, Lublin 2007.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R. Czachor, Transformacja systemu politycznego Białorusi w latach 1988–2001, Wydawnictwo Uczelni Jana Wyżykowskiego, Polkowice 2016.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37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7370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7370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73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873f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873f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73f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370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737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737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873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873f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73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37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5</Pages>
  <Words>537</Words>
  <Characters>3856</Characters>
  <CharactersWithSpaces>4250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2020-10-23T06:38:00Z</dcterms:created>
  <dc:creator>Aleksandra Kuczyńska-Zonik</dc:creator>
  <dc:description/>
  <dc:language>pl-PL</dc:language>
  <cp:lastModifiedBy/>
  <dcterms:modified xsi:type="dcterms:W3CDTF">2021-11-22T16:50:52Z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