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Diploma seminar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6+10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V-VI</w:t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 1 - 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>Podstawowa wiedza w zakresie nauk społecznych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 2 -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Wiedza z zakresu metodologii badań bezpieczeństwa i nauk politycznych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– Zapoznanie z podstawowymi zasadami pisania pracy dyplomowej 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Przypomnienie podstaw z zakresu polityki bezpieczeństwa, konfliktów oraz negocjacji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Zaznajomienie z zagadnieniami warsztatu naukowego</w:t>
            </w:r>
          </w:p>
        </w:tc>
      </w:tr>
      <w:tr>
        <w:trPr/>
        <w:tc>
          <w:tcPr>
            <w:tcW w:w="90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C 4 – P</w:t>
            </w:r>
            <w:r>
              <w:rPr>
                <w:rFonts w:cs="Calibri" w:cstheme="minorHAnsi"/>
                <w:kern w:val="0"/>
              </w:rPr>
              <w:t>rzygotowanie absolwenta do samodzielnego poszukiwania wiedzy teoretycznej i empirycznej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wiedzę z dziedziny nauk społecznych oraz powiązanych z nią dziedzin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W_02</w:t>
            </w:r>
          </w:p>
        </w:tc>
        <w:tc>
          <w:tcPr>
            <w:tcW w:w="58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cs="Calibri" w:cstheme="minorHAnsi"/>
                <w:kern w:val="0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K_W06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znaczenie praw własności intelektualnej oraz wynikających z tego konsekwencji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dokonywania oceny i samooceny wiedzy we wskazanym zakresie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1  Omówienie zasad etycznych i prawnych prowadzenia badań naukowych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2. Wybór tematyki pracy dyplomowej.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3. Dyskusja nad strukturą pracy i metodami badań.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4. Deskrypcja warsztatu naukowego.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5. Budowa bibliografii.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6. Indywidualna praca studenta.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7. Prezentacja gotowych fragmentów pracy (poszczególnych rozdziałów).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8. K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orekta i redakcja pracy pod kierunkiem promotora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seminaryjna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przedmiotu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badawcza pod kierunkiem, dyskusja 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W_03</w:t>
            </w:r>
          </w:p>
        </w:tc>
        <w:tc>
          <w:tcPr>
            <w:tcW w:w="264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badawcza pod kierunkiem, dyskusja </w:t>
            </w:r>
          </w:p>
        </w:tc>
        <w:tc>
          <w:tcPr>
            <w:tcW w:w="27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Zaliczenie </w:t>
            </w:r>
          </w:p>
        </w:tc>
        <w:tc>
          <w:tcPr>
            <w:tcW w:w="254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trike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E. Nowak, M. Nowak, Zarys teorii bezpieczeństwa narodowego, Wars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zawa 2011. </w:t>
              <w:br/>
              <w:t xml:space="preserve">2.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J. Buttolph Johnson, H.T. Reynolds, J.D. Mycoff, Metody badawcze w naukach politycznych, Warszawa 2010.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br/>
              <w:t xml:space="preserve">3.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R. Korzeniowski, Wstęp do metody badań bezpieczeństwa narodowego, Olsztyn 2013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  <w:br/>
              <w:t>4. Słownik terminów z zakresu bezpieczeństwa narodowego, Warszawa 200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kern w:val="0"/>
              </w:rPr>
              <w:t>1. Z.J. Pietraś, Decydowanie polityczne, Warszawa 2011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2. Teorie i metody w naukach politycznych, red. D. Marsh, G. Stoker, Kraków 2006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3. Bezpieczeństwo Polski. Historia i współczesność, red. L. Antonowicz, T. Guz, M. R. Pałubska, Lublin 2010.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4. Bezpieczeństwo narodowe i zarządzanie kryzysowe w Polsce w XXI wieku – Wyzwania i dylematy, Warszawa 2008. 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3793-2BBA-445F-A8ED-D99E303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LibreOffice/7.2.6.2$Windows_X86_64 LibreOffice_project/b0ec3a565991f7569a5a7f5d24fed7f52653d754</Application>
  <AppVersion>15.0000</AppVersion>
  <Pages>4</Pages>
  <Words>585</Words>
  <Characters>3979</Characters>
  <CharactersWithSpaces>4436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2022-01-03T12:55:00Z</dcterms:created>
  <dc:creator>Anna Łukasiewicz</dc:creator>
  <dc:description/>
  <dc:language>pl-PL</dc:language>
  <cp:lastModifiedBy/>
  <cp:lastPrinted>2019-01-23T11:10:00Z</cp:lastPrinted>
  <dcterms:modified xsi:type="dcterms:W3CDTF">2022-12-23T09:31:57Z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