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 w:cs="Times New Roman"/>
          <w:b/>
          <w:b/>
          <w:kern w:val="2"/>
          <w:sz w:val="24"/>
          <w:szCs w:val="24"/>
          <w:lang w:val="pl-PL" w:eastAsia="hi-IN" w:bidi="hi-IN"/>
        </w:rPr>
      </w:pPr>
      <w:r>
        <w:rPr>
          <w:rFonts w:eastAsia="SimSun" w:cs="Times New Roman" w:ascii="Times New Roman" w:hAnsi="Times New Roman"/>
          <w:b/>
          <w:kern w:val="2"/>
          <w:sz w:val="24"/>
          <w:szCs w:val="24"/>
          <w:lang w:val="pl-PL" w:eastAsia="hi-IN" w:bidi="hi-IN"/>
        </w:rPr>
        <w:t xml:space="preserve">KARTA PRZEDMIOTU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 w:cs="Times New Roman"/>
          <w:b/>
          <w:b/>
          <w:kern w:val="2"/>
          <w:sz w:val="24"/>
          <w:szCs w:val="24"/>
          <w:lang w:val="pl-PL" w:eastAsia="hi-IN" w:bidi="hi-IN"/>
        </w:rPr>
      </w:pPr>
      <w:r>
        <w:rPr>
          <w:rFonts w:eastAsia="SimSun" w:cs="Times New Roman" w:ascii="Times New Roman" w:hAnsi="Times New Roman"/>
          <w:b/>
          <w:kern w:val="2"/>
          <w:sz w:val="24"/>
          <w:szCs w:val="24"/>
          <w:lang w:val="pl-PL" w:eastAsia="hi-IN" w:bidi="hi-IN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76" w:before="0" w:after="200"/>
        <w:contextualSpacing/>
        <w:rPr>
          <w:rFonts w:ascii="Times New Roman" w:hAnsi="Times New Roman" w:eastAsia="Calibri" w:cs="Times New Roman"/>
          <w:b/>
          <w:b/>
          <w:lang w:val="pl-PL"/>
        </w:rPr>
      </w:pPr>
      <w:r>
        <w:rPr>
          <w:rFonts w:eastAsia="Calibri" w:cs="Times New Roman" w:ascii="Times New Roman" w:hAnsi="Times New Roman"/>
          <w:b/>
          <w:lang w:val="pl-PL"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Negocjacje kryzysowe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>The Crisis Negotiations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Bezpieczeństwo 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II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Nauki o polityce i administracji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Język polski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 w:cs="Times New Roman"/>
          <w:kern w:val="2"/>
          <w:sz w:val="24"/>
          <w:szCs w:val="24"/>
          <w:lang w:val="pl-PL" w:eastAsia="hi-IN" w:bidi="hi-IN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val="pl-PL" w:eastAsia="hi-IN" w:bidi="hi-IN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0"/>
        <w:gridCol w:w="4521"/>
      </w:tblGrid>
      <w:tr>
        <w:trPr/>
        <w:tc>
          <w:tcPr>
            <w:tcW w:w="454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Koordynator przedmiotu/osoba odpowiedzialna</w:t>
            </w:r>
          </w:p>
        </w:tc>
        <w:tc>
          <w:tcPr>
            <w:tcW w:w="452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 xml:space="preserve">dr Agnieszka Zaręba 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 w:cs="Times New Roman"/>
          <w:kern w:val="2"/>
          <w:sz w:val="24"/>
          <w:szCs w:val="24"/>
          <w:lang w:val="pl-PL" w:eastAsia="hi-IN" w:bidi="hi-IN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val="pl-PL" w:eastAsia="hi-IN" w:bidi="hi-IN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8"/>
        <w:gridCol w:w="2256"/>
        <w:gridCol w:w="2260"/>
        <w:gridCol w:w="2257"/>
      </w:tblGrid>
      <w:tr>
        <w:trPr/>
        <w:tc>
          <w:tcPr>
            <w:tcW w:w="228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 xml:space="preserve">Forma zajęć </w:t>
            </w:r>
            <w:r>
              <w:rPr>
                <w:rFonts w:eastAsia="SimSun" w:cs="Times New Roman" w:ascii="Times New Roman" w:hAnsi="Times New Roman"/>
                <w:i/>
                <w:kern w:val="2"/>
                <w:sz w:val="24"/>
                <w:szCs w:val="24"/>
                <w:lang w:val="pl-PL" w:eastAsia="hi-IN" w:bidi="hi-IN"/>
              </w:rPr>
              <w:t>(katalog zamknięty ze słownika)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Liczba godzin</w:t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Semestr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Punkty ECTS</w:t>
            </w:r>
          </w:p>
        </w:tc>
      </w:tr>
      <w:tr>
        <w:trPr/>
        <w:tc>
          <w:tcPr>
            <w:tcW w:w="228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Wykład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7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4</w:t>
            </w:r>
          </w:p>
        </w:tc>
      </w:tr>
      <w:tr>
        <w:trPr/>
        <w:tc>
          <w:tcPr>
            <w:tcW w:w="228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Konwersatorium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15</w:t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III</w:t>
            </w:r>
          </w:p>
        </w:tc>
        <w:tc>
          <w:tcPr>
            <w:tcW w:w="225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Ćwiczenia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Laboratorium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Warsztaty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Seminarium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proseminarium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Lektorat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Praktyki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zajęcia terenowe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pracownia dyplomowa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translatorium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wizyta studyjna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 w:cs="Mangal"/>
          <w:kern w:val="2"/>
          <w:sz w:val="24"/>
          <w:szCs w:val="24"/>
          <w:lang w:val="pl-PL" w:eastAsia="hi-I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val="pl-PL" w:eastAsia="hi-IN" w:bidi="hi-IN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Zainteresowanie problematyką przedmiotu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 w:cs="Mangal"/>
          <w:kern w:val="2"/>
          <w:sz w:val="24"/>
          <w:szCs w:val="24"/>
          <w:lang w:val="pl-PL" w:eastAsia="hi-I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val="pl-PL" w:eastAsia="hi-IN" w:bidi="hi-I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 w:cs="Mangal"/>
          <w:kern w:val="2"/>
          <w:sz w:val="24"/>
          <w:szCs w:val="24"/>
          <w:lang w:val="pl-PL" w:eastAsia="hi-I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val="pl-PL" w:eastAsia="hi-IN" w:bidi="hi-IN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76" w:before="0" w:after="200"/>
        <w:contextualSpacing/>
        <w:rPr>
          <w:rFonts w:ascii="Times New Roman" w:hAnsi="Times New Roman" w:eastAsia="Calibri" w:cs="Times New Roman"/>
          <w:b/>
          <w:b/>
          <w:lang w:val="pl-PL"/>
        </w:rPr>
      </w:pPr>
      <w:r>
        <w:rPr>
          <w:rFonts w:eastAsia="Calibri" w:cs="Times New Roman" w:ascii="Times New Roman" w:hAnsi="Times New Roman"/>
          <w:b/>
          <w:lang w:val="pl-PL"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C1 – przybliżenie studentom specyfiki procesów negocjacji kryzysowych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C2 – ukazanie studentom znaczenia negocjacji kryzysowych w systemie bezpieczeństwa międzynarodowego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C3 - kształtowanie wśród studentów umiejętności analizy zachowań ludzi oraz kompetencji z zakresu samokształcenia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 w:cs="Times New Roman"/>
          <w:kern w:val="2"/>
          <w:sz w:val="24"/>
          <w:szCs w:val="24"/>
          <w:lang w:val="pl-PL" w:eastAsia="hi-IN" w:bidi="hi-IN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val="pl-PL" w:eastAsia="hi-IN" w:bidi="hi-I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 w:cs="Mangal"/>
          <w:kern w:val="2"/>
          <w:sz w:val="24"/>
          <w:szCs w:val="24"/>
          <w:lang w:val="pl-PL" w:eastAsia="hi-I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val="pl-PL" w:eastAsia="hi-IN" w:bidi="hi-IN"/>
        </w:rPr>
      </w:r>
      <w:r>
        <w:br w:type="page"/>
      </w:r>
    </w:p>
    <w:p>
      <w:pPr>
        <w:pStyle w:val="Normal"/>
        <w:numPr>
          <w:ilvl w:val="0"/>
          <w:numId w:val="1"/>
        </w:numPr>
        <w:suppressAutoHyphens w:val="true"/>
        <w:spacing w:lineRule="auto" w:line="276" w:before="0" w:after="200"/>
        <w:contextualSpacing/>
        <w:rPr>
          <w:rFonts w:ascii="Times New Roman" w:hAnsi="Times New Roman" w:eastAsia="Calibri" w:cs="Times New Roman"/>
          <w:b/>
          <w:b/>
          <w:lang w:val="pl-PL"/>
        </w:rPr>
      </w:pPr>
      <w:r>
        <w:rPr>
          <w:rFonts w:eastAsia="Calibri" w:cs="Times New Roman" w:ascii="Times New Roman" w:hAnsi="Times New Roman"/>
          <w:b/>
          <w:lang w:val="pl-PL"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7"/>
        <w:gridCol w:w="5826"/>
        <w:gridCol w:w="2139"/>
      </w:tblGrid>
      <w:tr>
        <w:trPr/>
        <w:tc>
          <w:tcPr>
            <w:tcW w:w="1097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Symbol</w:t>
            </w:r>
          </w:p>
        </w:tc>
        <w:tc>
          <w:tcPr>
            <w:tcW w:w="582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Opis efektu przedmiotowego</w:t>
            </w:r>
          </w:p>
        </w:tc>
        <w:tc>
          <w:tcPr>
            <w:tcW w:w="213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WIEDZA</w:t>
            </w:r>
          </w:p>
        </w:tc>
      </w:tr>
      <w:tr>
        <w:trPr/>
        <w:tc>
          <w:tcPr>
            <w:tcW w:w="109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W_01</w:t>
            </w:r>
          </w:p>
        </w:tc>
        <w:tc>
          <w:tcPr>
            <w:tcW w:w="582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 xml:space="preserve">rozumie interdyscyplinarny charakter negocjacji kryzysowych łączący zagadnienia z obszaru nauk społecznych, w tym szczególnie z zakresu nauk o polityce i administracji </w:t>
            </w:r>
          </w:p>
        </w:tc>
        <w:tc>
          <w:tcPr>
            <w:tcW w:w="21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K_W01</w:t>
            </w:r>
          </w:p>
        </w:tc>
      </w:tr>
      <w:tr>
        <w:trPr/>
        <w:tc>
          <w:tcPr>
            <w:tcW w:w="109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W_02</w:t>
            </w:r>
          </w:p>
        </w:tc>
        <w:tc>
          <w:tcPr>
            <w:tcW w:w="582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zna metodologię prowadzenia badań z zakresu negocjacji kryzysowych</w:t>
            </w:r>
          </w:p>
        </w:tc>
        <w:tc>
          <w:tcPr>
            <w:tcW w:w="21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lang w:val="pl-PL" w:eastAsia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>K_W03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UMIEJĘTNOŚCI</w:t>
            </w:r>
          </w:p>
        </w:tc>
      </w:tr>
      <w:tr>
        <w:trPr/>
        <w:tc>
          <w:tcPr>
            <w:tcW w:w="109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U_01</w:t>
            </w:r>
          </w:p>
        </w:tc>
        <w:tc>
          <w:tcPr>
            <w:tcW w:w="582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potrafi wykorzystywać pogłębioną wiedzę i kompetencje do analizy negocjacji kryzysowych</w:t>
            </w:r>
          </w:p>
        </w:tc>
        <w:tc>
          <w:tcPr>
            <w:tcW w:w="21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lang w:val="pl-PL" w:eastAsia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>K_U01</w:t>
            </w:r>
          </w:p>
        </w:tc>
      </w:tr>
      <w:tr>
        <w:trPr/>
        <w:tc>
          <w:tcPr>
            <w:tcW w:w="109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U_02</w:t>
            </w:r>
          </w:p>
        </w:tc>
        <w:tc>
          <w:tcPr>
            <w:tcW w:w="582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potrafi samodzielnie zdobywać i doskonalić wiedzę z zakresu negocjacji kryzysowych</w:t>
            </w:r>
          </w:p>
        </w:tc>
        <w:tc>
          <w:tcPr>
            <w:tcW w:w="21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lang w:val="pl-PL" w:eastAsia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lang w:val="pl-PL" w:eastAsia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>K_U03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KOMPETENCJE SPOŁECZNE</w:t>
            </w:r>
          </w:p>
        </w:tc>
      </w:tr>
      <w:tr>
        <w:trPr>
          <w:trHeight w:val="622" w:hRule="atLeast"/>
        </w:trPr>
        <w:tc>
          <w:tcPr>
            <w:tcW w:w="109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K_01</w:t>
            </w:r>
          </w:p>
        </w:tc>
        <w:tc>
          <w:tcPr>
            <w:tcW w:w="582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jest gotów do świadomych analiz dotyczących społecznych, naukowych i etycznych aspektów związanych z ryzykiem zawodowym</w:t>
            </w:r>
          </w:p>
        </w:tc>
        <w:tc>
          <w:tcPr>
            <w:tcW w:w="21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lang w:val="pl-PL" w:eastAsia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>K_K02</w:t>
            </w:r>
          </w:p>
        </w:tc>
      </w:tr>
    </w:tbl>
    <w:p>
      <w:pPr>
        <w:pStyle w:val="Normal"/>
        <w:spacing w:lineRule="auto" w:line="276" w:before="0" w:after="200"/>
        <w:contextualSpacing/>
        <w:rPr>
          <w:rFonts w:ascii="Times New Roman" w:hAnsi="Times New Roman" w:eastAsia="Calibri" w:cs="Times New Roman"/>
          <w:b/>
          <w:b/>
          <w:lang w:val="pl-PL"/>
        </w:rPr>
      </w:pPr>
      <w:r>
        <w:rPr>
          <w:rFonts w:eastAsia="Calibri" w:cs="Times New Roman" w:ascii="Times New Roman" w:hAnsi="Times New Roman"/>
          <w:b/>
          <w:lang w:val="pl-PL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1077" w:hanging="720"/>
        <w:contextualSpacing/>
        <w:rPr>
          <w:rFonts w:ascii="Times New Roman" w:hAnsi="Times New Roman" w:eastAsia="Calibri" w:cs="Times New Roman"/>
          <w:b/>
          <w:b/>
          <w:lang w:val="pl-PL"/>
        </w:rPr>
      </w:pPr>
      <w:r>
        <w:rPr>
          <w:rFonts w:eastAsia="Calibri" w:cs="Times New Roman" w:ascii="Times New Roman" w:hAnsi="Times New Roman"/>
          <w:b/>
          <w:lang w:val="pl-PL"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76" w:before="0" w:after="200"/>
              <w:ind w:left="1077" w:hanging="0"/>
              <w:contextualSpacing/>
              <w:jc w:val="both"/>
              <w:rPr>
                <w:rFonts w:ascii="Times New Roman" w:hAnsi="Times New Roman" w:eastAsia="Calibri" w:cs="Times New Roman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Istota, funkcje negocjacji kryzysowych</w:t>
            </w:r>
          </w:p>
          <w:p>
            <w:pPr>
              <w:pStyle w:val="Normal"/>
              <w:widowControl/>
              <w:spacing w:lineRule="auto" w:line="276" w:before="0" w:after="200"/>
              <w:ind w:left="1077" w:hanging="0"/>
              <w:contextualSpacing/>
              <w:jc w:val="both"/>
              <w:rPr>
                <w:rFonts w:ascii="Times New Roman" w:hAnsi="Times New Roman" w:eastAsia="Calibri" w:cs="Times New Roman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Znaczenie negocjacji kryzysowych</w:t>
            </w:r>
          </w:p>
          <w:p>
            <w:pPr>
              <w:pStyle w:val="Normal"/>
              <w:widowControl/>
              <w:spacing w:lineRule="auto" w:line="276" w:before="0" w:after="200"/>
              <w:ind w:left="1077" w:hanging="0"/>
              <w:contextualSpacing/>
              <w:jc w:val="both"/>
              <w:rPr>
                <w:rFonts w:ascii="Times New Roman" w:hAnsi="Times New Roman" w:eastAsia="Calibri" w:cs="Times New Roman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Modele rozwiązywania negocjacji kryzysowych</w:t>
            </w:r>
          </w:p>
          <w:p>
            <w:pPr>
              <w:pStyle w:val="Normal"/>
              <w:widowControl/>
              <w:spacing w:lineRule="auto" w:line="276" w:before="0" w:after="200"/>
              <w:ind w:left="1077" w:hanging="0"/>
              <w:contextualSpacing/>
              <w:jc w:val="both"/>
              <w:rPr>
                <w:rFonts w:ascii="Times New Roman" w:hAnsi="Times New Roman" w:eastAsia="Calibri" w:cs="Times New Roman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Sposoby prowadzenia negocjacji kryzysowych</w:t>
            </w:r>
          </w:p>
          <w:p>
            <w:pPr>
              <w:pStyle w:val="Normal"/>
              <w:widowControl/>
              <w:spacing w:lineRule="auto" w:line="276" w:before="0" w:after="200"/>
              <w:ind w:left="1077" w:hanging="0"/>
              <w:contextualSpacing/>
              <w:jc w:val="both"/>
              <w:rPr>
                <w:rFonts w:ascii="Times New Roman" w:hAnsi="Times New Roman" w:eastAsia="Calibri" w:cs="Times New Roman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- Przykłady negocjacji kryzysowych  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 w:cs="Times New Roman"/>
          <w:b/>
          <w:b/>
          <w:kern w:val="2"/>
          <w:sz w:val="24"/>
          <w:szCs w:val="24"/>
          <w:lang w:val="pl-PL" w:eastAsia="hi-IN" w:bidi="hi-IN"/>
        </w:rPr>
      </w:pPr>
      <w:r>
        <w:rPr>
          <w:rFonts w:eastAsia="SimSun" w:cs="Times New Roman" w:ascii="Times New Roman" w:hAnsi="Times New Roman"/>
          <w:b/>
          <w:kern w:val="2"/>
          <w:sz w:val="24"/>
          <w:szCs w:val="24"/>
          <w:lang w:val="pl-PL" w:eastAsia="hi-IN" w:bidi="hi-IN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76" w:before="0" w:after="200"/>
        <w:contextualSpacing/>
        <w:rPr>
          <w:rFonts w:ascii="Times New Roman" w:hAnsi="Times New Roman" w:eastAsia="Calibri" w:cs="Times New Roman"/>
          <w:b/>
          <w:b/>
          <w:lang w:val="pl-PL"/>
        </w:rPr>
      </w:pPr>
      <w:r>
        <w:rPr>
          <w:rFonts w:eastAsia="Calibri" w:cs="Times New Roman" w:ascii="Times New Roman" w:hAnsi="Times New Roman"/>
          <w:b/>
          <w:lang w:val="pl-PL"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4"/>
        <w:gridCol w:w="2660"/>
        <w:gridCol w:w="2769"/>
        <w:gridCol w:w="2538"/>
      </w:tblGrid>
      <w:tr>
        <w:trPr/>
        <w:tc>
          <w:tcPr>
            <w:tcW w:w="109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Symbol efektu</w:t>
            </w:r>
          </w:p>
        </w:tc>
        <w:tc>
          <w:tcPr>
            <w:tcW w:w="2660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Metody dydaktyczne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i/>
                <w:kern w:val="2"/>
                <w:sz w:val="24"/>
                <w:szCs w:val="24"/>
                <w:lang w:val="pl-PL" w:eastAsia="hi-IN" w:bidi="hi-IN"/>
              </w:rPr>
              <w:t>(lista wyboru)</w:t>
            </w:r>
          </w:p>
        </w:tc>
        <w:tc>
          <w:tcPr>
            <w:tcW w:w="276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Metody weryfikacji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i/>
                <w:kern w:val="2"/>
                <w:sz w:val="24"/>
                <w:szCs w:val="24"/>
                <w:lang w:val="pl-PL" w:eastAsia="hi-IN" w:bidi="hi-IN"/>
              </w:rPr>
              <w:t>(lista wyboru)</w:t>
            </w:r>
          </w:p>
        </w:tc>
        <w:tc>
          <w:tcPr>
            <w:tcW w:w="2538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Sposoby dokumentacji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i/>
                <w:kern w:val="2"/>
                <w:sz w:val="24"/>
                <w:szCs w:val="24"/>
                <w:lang w:val="pl-PL" w:eastAsia="hi-IN" w:bidi="hi-IN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WIEDZA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W_01</w:t>
            </w:r>
          </w:p>
        </w:tc>
        <w:tc>
          <w:tcPr>
            <w:tcW w:w="26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Wykład konwersatoryjny, prezentacja multimedialna, udział w konferencji naukowej</w:t>
            </w:r>
          </w:p>
        </w:tc>
        <w:tc>
          <w:tcPr>
            <w:tcW w:w="276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Zaliczenie</w:t>
            </w:r>
          </w:p>
        </w:tc>
        <w:tc>
          <w:tcPr>
            <w:tcW w:w="253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Protokół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W_02</w:t>
            </w:r>
          </w:p>
        </w:tc>
        <w:tc>
          <w:tcPr>
            <w:tcW w:w="26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 xml:space="preserve">Wykład konwersatoryjny, prezentacja multimedialna, udział w konferencji naukowej </w:t>
            </w:r>
          </w:p>
        </w:tc>
        <w:tc>
          <w:tcPr>
            <w:tcW w:w="276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 xml:space="preserve">Zaliczenie </w:t>
            </w:r>
          </w:p>
        </w:tc>
        <w:tc>
          <w:tcPr>
            <w:tcW w:w="253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UMIEJĘTNOŚCI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U_01</w:t>
            </w:r>
          </w:p>
        </w:tc>
        <w:tc>
          <w:tcPr>
            <w:tcW w:w="26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 xml:space="preserve"> </w:t>
            </w: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Wykład konwersatoryjny prezentacja multimedialna, udział w konferencji naukowej</w:t>
            </w:r>
          </w:p>
        </w:tc>
        <w:tc>
          <w:tcPr>
            <w:tcW w:w="276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Zaliczenie</w:t>
            </w:r>
          </w:p>
        </w:tc>
        <w:tc>
          <w:tcPr>
            <w:tcW w:w="253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Protokół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U_02</w:t>
            </w:r>
          </w:p>
        </w:tc>
        <w:tc>
          <w:tcPr>
            <w:tcW w:w="26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Wykład konwersatoryjny, prezentacja multimedialna, udział w konferencji naukowej</w:t>
            </w:r>
          </w:p>
        </w:tc>
        <w:tc>
          <w:tcPr>
            <w:tcW w:w="276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Zaliczenie</w:t>
            </w:r>
          </w:p>
        </w:tc>
        <w:tc>
          <w:tcPr>
            <w:tcW w:w="253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KOMPETENCJE SPOŁECZNE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K_01</w:t>
            </w:r>
          </w:p>
        </w:tc>
        <w:tc>
          <w:tcPr>
            <w:tcW w:w="266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Prezentacja multimedialna, udział w konferencji naukowej</w:t>
            </w:r>
          </w:p>
        </w:tc>
        <w:tc>
          <w:tcPr>
            <w:tcW w:w="276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Zaliczenie</w:t>
            </w:r>
          </w:p>
        </w:tc>
        <w:tc>
          <w:tcPr>
            <w:tcW w:w="253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Protokół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 w:cs="Times New Roman"/>
          <w:kern w:val="2"/>
          <w:sz w:val="24"/>
          <w:szCs w:val="24"/>
          <w:lang w:val="pl-PL" w:eastAsia="hi-IN" w:bidi="hi-IN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val="pl-PL" w:eastAsia="hi-IN" w:bidi="hi-IN"/>
        </w:rPr>
      </w:r>
    </w:p>
    <w:p>
      <w:pPr>
        <w:pStyle w:val="Normal"/>
        <w:spacing w:lineRule="auto" w:line="276" w:before="0" w:after="200"/>
        <w:ind w:left="1080" w:hanging="0"/>
        <w:contextualSpacing/>
        <w:rPr>
          <w:rFonts w:ascii="Times New Roman" w:hAnsi="Times New Roman" w:eastAsia="Calibri" w:cs="Times New Roman"/>
          <w:b/>
          <w:b/>
          <w:lang w:val="pl-PL"/>
        </w:rPr>
      </w:pPr>
      <w:r>
        <w:rPr>
          <w:rFonts w:eastAsia="Calibri" w:cs="Times New Roman" w:ascii="Times New Roman" w:hAnsi="Times New Roman"/>
          <w:b/>
          <w:lang w:val="pl-PL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76" w:before="0" w:after="200"/>
        <w:contextualSpacing/>
        <w:rPr>
          <w:rFonts w:ascii="Times New Roman" w:hAnsi="Times New Roman" w:eastAsia="Calibri" w:cs="Times New Roman"/>
          <w:b/>
          <w:b/>
          <w:lang w:val="pl-PL"/>
        </w:rPr>
      </w:pPr>
      <w:r>
        <w:rPr>
          <w:rFonts w:eastAsia="Calibri" w:cs="Times New Roman" w:ascii="Times New Roman" w:hAnsi="Times New Roman"/>
          <w:b/>
          <w:lang w:val="pl-PL"/>
        </w:rPr>
        <w:t>Kryteria oceny, wagi…</w:t>
      </w:r>
    </w:p>
    <w:p>
      <w:pPr>
        <w:pStyle w:val="Normal"/>
        <w:suppressAutoHyphens w:val="true"/>
        <w:spacing w:lineRule="auto" w:line="240" w:before="0" w:after="0"/>
        <w:ind w:left="357" w:hanging="0"/>
        <w:rPr>
          <w:rFonts w:ascii="Times New Roman" w:hAnsi="Times New Roman" w:eastAsia="SimSun" w:cs="Times New Roman"/>
          <w:b/>
          <w:b/>
          <w:kern w:val="2"/>
          <w:sz w:val="24"/>
          <w:szCs w:val="24"/>
          <w:lang w:val="pl-PL" w:eastAsia="hi-IN" w:bidi="hi-IN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val="pl-PL" w:eastAsia="hi-IN" w:bidi="hi-IN"/>
        </w:rPr>
        <w:t xml:space="preserve">Na ocenę 2 (ndst) Do 50% wymagań </w:t>
      </w:r>
    </w:p>
    <w:p>
      <w:pPr>
        <w:pStyle w:val="Normal"/>
        <w:suppressAutoHyphens w:val="true"/>
        <w:spacing w:lineRule="auto" w:line="240" w:before="0" w:after="0"/>
        <w:ind w:left="357" w:hanging="0"/>
        <w:rPr>
          <w:rFonts w:ascii="Times New Roman" w:hAnsi="Times New Roman" w:eastAsia="SimSun" w:cs="Times New Roman"/>
          <w:b/>
          <w:b/>
          <w:kern w:val="2"/>
          <w:sz w:val="24"/>
          <w:szCs w:val="24"/>
          <w:lang w:val="pl-PL" w:eastAsia="hi-IN" w:bidi="hi-IN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val="pl-PL" w:eastAsia="hi-IN" w:bidi="hi-IN"/>
        </w:rPr>
        <w:t xml:space="preserve">Na ocenę 3 (dst) Od 51% do 60% wymagań </w:t>
      </w:r>
    </w:p>
    <w:p>
      <w:pPr>
        <w:pStyle w:val="Normal"/>
        <w:suppressAutoHyphens w:val="true"/>
        <w:spacing w:lineRule="auto" w:line="240" w:before="0" w:after="0"/>
        <w:ind w:left="357" w:hanging="0"/>
        <w:rPr>
          <w:rFonts w:ascii="Times New Roman" w:hAnsi="Times New Roman" w:eastAsia="SimSun" w:cs="Times New Roman"/>
          <w:b/>
          <w:b/>
          <w:kern w:val="2"/>
          <w:sz w:val="24"/>
          <w:szCs w:val="24"/>
          <w:lang w:val="pl-PL" w:eastAsia="hi-IN" w:bidi="hi-IN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val="pl-PL" w:eastAsia="hi-IN" w:bidi="hi-IN"/>
        </w:rPr>
        <w:t xml:space="preserve">Na ocenę  3+ (dst+) Od 61% do 70% wymagań </w:t>
      </w:r>
    </w:p>
    <w:p>
      <w:pPr>
        <w:pStyle w:val="Normal"/>
        <w:suppressAutoHyphens w:val="true"/>
        <w:spacing w:lineRule="auto" w:line="240" w:before="0" w:after="0"/>
        <w:ind w:left="357" w:hanging="0"/>
        <w:rPr>
          <w:rFonts w:ascii="Times New Roman" w:hAnsi="Times New Roman" w:eastAsia="SimSun" w:cs="Times New Roman"/>
          <w:b/>
          <w:b/>
          <w:kern w:val="2"/>
          <w:sz w:val="24"/>
          <w:szCs w:val="24"/>
          <w:lang w:val="pl-PL" w:eastAsia="hi-IN" w:bidi="hi-IN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val="pl-PL" w:eastAsia="hi-IN" w:bidi="hi-IN"/>
        </w:rPr>
        <w:t xml:space="preserve">Na ocenę 4 (db) Od 71% do 80% wymagań </w:t>
      </w:r>
    </w:p>
    <w:p>
      <w:pPr>
        <w:pStyle w:val="Normal"/>
        <w:suppressAutoHyphens w:val="true"/>
        <w:spacing w:lineRule="auto" w:line="240" w:before="0" w:after="0"/>
        <w:ind w:left="357" w:hanging="0"/>
        <w:rPr>
          <w:rFonts w:ascii="Times New Roman" w:hAnsi="Times New Roman" w:eastAsia="SimSun" w:cs="Times New Roman"/>
          <w:b/>
          <w:b/>
          <w:kern w:val="2"/>
          <w:sz w:val="24"/>
          <w:szCs w:val="24"/>
          <w:lang w:val="pl-PL" w:eastAsia="hi-IN" w:bidi="hi-IN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val="pl-PL" w:eastAsia="hi-IN" w:bidi="hi-IN"/>
        </w:rPr>
        <w:t xml:space="preserve">Na ocenę  4+ (db+) Od 81% do 90% wymagań </w:t>
      </w:r>
    </w:p>
    <w:p>
      <w:pPr>
        <w:pStyle w:val="Normal"/>
        <w:suppressAutoHyphens w:val="true"/>
        <w:spacing w:lineRule="auto" w:line="240" w:before="0" w:after="0"/>
        <w:ind w:left="357" w:hanging="0"/>
        <w:rPr>
          <w:rFonts w:ascii="Times New Roman" w:hAnsi="Times New Roman" w:eastAsia="SimSun" w:cs="Times New Roman"/>
          <w:kern w:val="2"/>
          <w:sz w:val="24"/>
          <w:szCs w:val="24"/>
          <w:lang w:val="pl-PL" w:eastAsia="hi-IN" w:bidi="hi-IN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val="pl-PL" w:eastAsia="hi-IN" w:bidi="hi-IN"/>
        </w:rPr>
        <w:t>Na ocenę  5 (bdb) Od 91% do 100% wymagań</w:t>
      </w:r>
    </w:p>
    <w:p>
      <w:pPr>
        <w:pStyle w:val="Normal"/>
        <w:suppressAutoHyphens w:val="true"/>
        <w:spacing w:lineRule="auto" w:line="240" w:before="0" w:after="0"/>
        <w:ind w:left="357" w:hanging="0"/>
        <w:rPr>
          <w:rFonts w:ascii="Times New Roman" w:hAnsi="Times New Roman" w:eastAsia="SimSun" w:cs="Times New Roman"/>
          <w:b/>
          <w:b/>
          <w:kern w:val="2"/>
          <w:sz w:val="24"/>
          <w:szCs w:val="24"/>
          <w:lang w:val="pl-PL" w:eastAsia="hi-IN" w:bidi="hi-IN"/>
        </w:rPr>
      </w:pPr>
      <w:r>
        <w:rPr>
          <w:rFonts w:eastAsia="SimSun" w:cs="Times New Roman" w:ascii="Times New Roman" w:hAnsi="Times New Roman"/>
          <w:b/>
          <w:kern w:val="2"/>
          <w:sz w:val="24"/>
          <w:szCs w:val="24"/>
          <w:lang w:val="pl-PL" w:eastAsia="hi-IN" w:bidi="hi-IN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76" w:before="0" w:after="200"/>
        <w:contextualSpacing/>
        <w:rPr>
          <w:rFonts w:ascii="Times New Roman" w:hAnsi="Times New Roman" w:eastAsia="Calibri" w:cs="Times New Roman"/>
          <w:b/>
          <w:b/>
          <w:lang w:val="pl-PL"/>
        </w:rPr>
      </w:pPr>
      <w:r>
        <w:rPr>
          <w:rFonts w:eastAsia="Calibri" w:cs="Times New Roman" w:ascii="Times New Roman" w:hAnsi="Times New Roman"/>
          <w:b/>
          <w:lang w:val="pl-PL"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9"/>
        <w:gridCol w:w="4522"/>
      </w:tblGrid>
      <w:tr>
        <w:trPr/>
        <w:tc>
          <w:tcPr>
            <w:tcW w:w="453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Forma aktywności studenta</w:t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Liczba godzin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 xml:space="preserve">Liczba godzin kontaktowych z nauczycielem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i/>
                <w:i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15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Liczba godzin indywidualnej pracy studenta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i/>
                <w:i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105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 w:cs="Times New Roman"/>
          <w:b/>
          <w:b/>
          <w:kern w:val="2"/>
          <w:sz w:val="24"/>
          <w:szCs w:val="24"/>
          <w:lang w:val="pl-PL" w:eastAsia="hi-IN" w:bidi="hi-IN"/>
        </w:rPr>
      </w:pPr>
      <w:r>
        <w:rPr>
          <w:rFonts w:eastAsia="SimSun" w:cs="Times New Roman" w:ascii="Times New Roman" w:hAnsi="Times New Roman"/>
          <w:b/>
          <w:kern w:val="2"/>
          <w:sz w:val="24"/>
          <w:szCs w:val="24"/>
          <w:lang w:val="pl-PL" w:eastAsia="hi-IN" w:bidi="hi-IN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76" w:before="0" w:after="200"/>
        <w:contextualSpacing/>
        <w:rPr>
          <w:rFonts w:ascii="Times New Roman" w:hAnsi="Times New Roman" w:eastAsia="Calibri" w:cs="Times New Roman"/>
          <w:b/>
          <w:b/>
          <w:lang w:val="pl-PL"/>
        </w:rPr>
      </w:pPr>
      <w:r>
        <w:rPr>
          <w:rFonts w:eastAsia="Calibri" w:cs="Times New Roman" w:ascii="Times New Roman" w:hAnsi="Times New Roman"/>
          <w:b/>
          <w:lang w:val="pl-PL"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Aksamitowski A., Buchalski A., Cupryjak M.,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Negocjacje w sytuacjach kryzysowych,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Szczecin 2018.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Stawnicka J.,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 xml:space="preserve">Modele komunikacji w negocjacjach kryzysowych,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Dąbrowa Górnicza 2018.</w:t>
            </w:r>
            <w:bookmarkStart w:id="0" w:name="_GoBack"/>
            <w:bookmarkEnd w:id="0"/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Negocjacje w XXI wieku. Teoria, praktyka i znaczenie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, B. Piskorska, A.M. Zaręba (red.), Lublin 2020.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Nierenberg G.I.,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Sztuka negocjacji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, Warszawa 1998.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9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Bargiel-Matusiewicz K.,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Negocjacje i mediacje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, Warszawa2007.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90"/>
              <w:jc w:val="left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pl-PL" w:eastAsia="pl-PL" w:bidi="hi-I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Tabernacka, M.,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Negocjacje i mediacje w sferze publicznej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, Warszawa 2009.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 w:cs="Times New Roman"/>
          <w:kern w:val="2"/>
          <w:sz w:val="24"/>
          <w:szCs w:val="24"/>
          <w:lang w:val="pl-PL" w:eastAsia="hi-IN" w:bidi="hi-IN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val="pl-PL" w:eastAsia="hi-IN" w:bidi="hi-IN"/>
        </w:rPr>
      </w:r>
    </w:p>
    <w:p>
      <w:pPr>
        <w:pStyle w:val="Normal"/>
        <w:spacing w:before="0" w:after="160"/>
        <w:rPr>
          <w:lang w:val="pl-PL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spacing w:before="240" w:after="0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>
        <w:lang w:val="pl-PL"/>
      </w:rPr>
    </w:pPr>
    <w:r>
      <w:rPr>
        <w:lang w:val="pl-PL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96e03"/>
    <w:rPr>
      <w:lang w:val="en-GB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96e03"/>
    <w:rPr>
      <w:lang w:val="en-GB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296e03"/>
    <w:rPr>
      <w:lang w:val="en-GB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296e03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96e0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96e0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agwek1" w:customStyle="1">
    <w:name w:val="Nagłówek1"/>
    <w:basedOn w:val="Normal"/>
    <w:next w:val="Tretekstu"/>
    <w:qFormat/>
    <w:rsid w:val="00296e03"/>
    <w:pPr>
      <w:keepNext w:val="true"/>
      <w:tabs>
        <w:tab w:val="clear" w:pos="708"/>
        <w:tab w:val="center" w:pos="4536" w:leader="none"/>
        <w:tab w:val="right" w:pos="9072" w:leader="none"/>
      </w:tabs>
      <w:suppressAutoHyphens w:val="true"/>
      <w:spacing w:lineRule="atLeast" w:line="100" w:before="240" w:after="0"/>
    </w:pPr>
    <w:rPr>
      <w:rFonts w:ascii="Arial" w:hAnsi="Arial" w:eastAsia="Microsoft YaHei" w:cs="Mangal"/>
      <w:kern w:val="2"/>
      <w:sz w:val="28"/>
      <w:szCs w:val="28"/>
      <w:lang w:val="pl-PL" w:eastAsia="hi-IN" w:bidi="hi-IN"/>
    </w:rPr>
  </w:style>
  <w:style w:type="paragraph" w:styleId="ListParagraph">
    <w:name w:val="List Paragraph"/>
    <w:basedOn w:val="Normal"/>
    <w:uiPriority w:val="34"/>
    <w:qFormat/>
    <w:rsid w:val="00ee231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96e0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46DD3-D3C8-438D-BCDC-979230C7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LibreOffice/7.2.6.2$Windows_X86_64 LibreOffice_project/b0ec3a565991f7569a5a7f5d24fed7f52653d754</Application>
  <AppVersion>15.0000</AppVersion>
  <Pages>5</Pages>
  <Words>473</Words>
  <Characters>3304</Characters>
  <CharactersWithSpaces>3663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2022-12-07T21:21:00Z</dcterms:created>
  <dc:creator>pracownik</dc:creator>
  <dc:description/>
  <dc:language>pl-PL</dc:language>
  <cp:lastModifiedBy>pracownik</cp:lastModifiedBy>
  <dcterms:modified xsi:type="dcterms:W3CDTF">2022-12-12T09:42:00Z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