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b/>
        </w:rPr>
      </w:pPr>
      <w:r>
        <w:rPr>
          <w:rFonts w:cstheme="minorHAnsi"/>
          <w:b/>
        </w:rPr>
        <w:t xml:space="preserve">KARTA PRZEDMIOTU </w:t>
      </w:r>
    </w:p>
    <w:p>
      <w:pPr>
        <w:rPr>
          <w:rFonts w:cstheme="minorHAnsi"/>
          <w:b/>
        </w:rPr>
      </w:pPr>
    </w:p>
    <w:p>
      <w:pPr>
        <w:pStyle w:val="22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Dane podstawowe</w:t>
      </w: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Bezpieczeństwo Europy Wschodniej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Security in Eastern Europe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spacing w:before="0" w:after="0"/>
        <w:rPr>
          <w:rFonts w:cstheme="minorHAnsi"/>
        </w:rPr>
      </w:pP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0"/>
        <w:gridCol w:w="4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0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color w:val="222222"/>
                <w:kern w:val="0"/>
                <w:sz w:val="22"/>
                <w:szCs w:val="22"/>
                <w:shd w:val="clear" w:fill="FFFFFF"/>
                <w:lang w:val="pl-PL" w:eastAsia="en-US" w:bidi="ar-SA"/>
              </w:rPr>
              <w:t>dr Aleksandra Kuczyńska-Zonik</w:t>
            </w:r>
          </w:p>
        </w:tc>
      </w:tr>
    </w:tbl>
    <w:p>
      <w:pPr>
        <w:spacing w:before="0" w:after="0"/>
        <w:rPr>
          <w:rFonts w:cstheme="minorHAnsi"/>
        </w:rPr>
      </w:pP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56"/>
        <w:gridCol w:w="2261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58" w:type="dxa"/>
            <w:vMerge w:val="restart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6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  <w:tc>
          <w:tcPr>
            <w:tcW w:w="2258" w:type="dxa"/>
            <w:vMerge w:val="continue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</w:p>
        </w:tc>
      </w:tr>
    </w:tbl>
    <w:p>
      <w:pPr>
        <w:spacing w:before="0" w:after="0"/>
        <w:rPr>
          <w:rFonts w:cstheme="minorHAnsi"/>
        </w:rPr>
      </w:pP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6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spacing w:before="0" w:after="0"/>
        <w:rPr>
          <w:rFonts w:cstheme="minorHAnsi"/>
        </w:rPr>
      </w:pPr>
    </w:p>
    <w:p>
      <w:pPr>
        <w:spacing w:before="0" w:after="0"/>
        <w:rPr>
          <w:rFonts w:cstheme="minorHAnsi"/>
        </w:rPr>
      </w:pPr>
    </w:p>
    <w:p>
      <w:pPr>
        <w:pStyle w:val="22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Cele kształcenia dla przedmiotu </w:t>
      </w: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vAlign w:val="center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C1: wskazanie studentom problemów i wyzwań Europy Wschodniej w międzynarodowym systemie bezpieczeństwa.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C2: wprowadzenie pojęć, słownictwa i teorii międzynarodowego systemu bezpieczeństwa w odniesieniu do bezpieczeństwa w Europie Wschodniej.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C3: w</w:t>
            </w:r>
            <w:r>
              <w:rPr>
                <w:rFonts w:eastAsia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ykorzystanie tych koncepcji i teorii do analizy współczesnych wyzwań związanych z różnymi sektorami bezpieczeństwa w Europie Wschodniej.</w:t>
            </w:r>
          </w:p>
        </w:tc>
      </w:tr>
    </w:tbl>
    <w:p>
      <w:pPr>
        <w:spacing w:before="0" w:after="0"/>
        <w:rPr>
          <w:rFonts w:cstheme="minorHAnsi"/>
        </w:rPr>
      </w:pPr>
    </w:p>
    <w:p>
      <w:pPr>
        <w:rPr>
          <w:rFonts w:cstheme="minorHAnsi"/>
        </w:rPr>
      </w:pPr>
      <w:r>
        <w:br w:type="page"/>
      </w:r>
    </w:p>
    <w:p>
      <w:pPr>
        <w:spacing w:before="0" w:after="0"/>
        <w:rPr>
          <w:rFonts w:cstheme="minorHAnsi"/>
        </w:rPr>
      </w:pPr>
    </w:p>
    <w:p>
      <w:pPr>
        <w:pStyle w:val="22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Efekty uczenia się dla przedmiotu wraz z odniesieniem do efektów kierunkowych</w:t>
      </w: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5834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3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na temat podstawowych elementów i koncepcji międzynarodowego systemu bezpieczeństwa oraz wyzwań dla bezpieczeństwa</w:t>
            </w:r>
          </w:p>
        </w:tc>
        <w:tc>
          <w:tcPr>
            <w:tcW w:w="2137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dotyczącą głównych aktorów stosunków międzynarodowych w regionie Europy Wschodniej i wzajemnych relacji pomiędzy nimi</w:t>
            </w:r>
          </w:p>
        </w:tc>
        <w:tc>
          <w:tcPr>
            <w:tcW w:w="2137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3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Absolwent potrafi zastosować koncepcje i teorie do analizy problemów bezpieczeństwa, prawidłowo oceniać zagrożenia w Europie Wschodniej oraz identyfikować ich przyczyny</w:t>
            </w:r>
          </w:p>
        </w:tc>
        <w:tc>
          <w:tcPr>
            <w:tcW w:w="2137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3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przestrzega zasad etyki zawodowej</w:t>
            </w: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oraz potrafi rozwiązywać problemy w regionie</w:t>
            </w:r>
            <w:r>
              <w:rPr>
                <w:rFonts w:eastAsia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 Europy Wschodniej</w:t>
            </w:r>
          </w:p>
        </w:tc>
        <w:tc>
          <w:tcPr>
            <w:tcW w:w="2137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</w:tr>
    </w:tbl>
    <w:p>
      <w:pPr>
        <w:pStyle w:val="22"/>
        <w:ind w:left="1080" w:firstLine="0"/>
        <w:rPr>
          <w:rFonts w:cstheme="minorHAnsi"/>
          <w:b/>
        </w:rPr>
      </w:pPr>
    </w:p>
    <w:p>
      <w:pPr>
        <w:pStyle w:val="22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Opis przedmiotu/ treści programowe</w:t>
      </w: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Region Europy Wschodniej w ujęciu historycznym, kulturowym i przestrzennym. Podziały Europy Wschodniej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Rozpad Związku Radzieckiego i jego konsekwencje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Systemy bezpieczeństwa na obszarze WNP 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Współpraca gospodarcza i energetyczna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Polityka Rosji wobec państw Europy Wschodniej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Ukraina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Białoruś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Państwa Kaukazu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Konflikty na obszarze poradzieckim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spacing w:before="0" w:after="160" w:line="259" w:lineRule="auto"/>
              <w:contextualSpacing/>
              <w:jc w:val="left"/>
              <w:rPr>
                <w:b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Procesy demokratyzacji i kolorowe rewolucje</w:t>
            </w:r>
          </w:p>
        </w:tc>
      </w:tr>
    </w:tbl>
    <w:p>
      <w:pPr>
        <w:rPr>
          <w:rFonts w:cstheme="minorHAnsi"/>
          <w:b/>
        </w:rPr>
      </w:pPr>
    </w:p>
    <w:p>
      <w:pPr>
        <w:pStyle w:val="22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Metody realizacji i weryfikacji efektów uczenia się</w:t>
      </w: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646"/>
        <w:gridCol w:w="2781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2" w:type="dxa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Wykład, dyskusja, service learning </w:t>
            </w:r>
          </w:p>
        </w:tc>
        <w:tc>
          <w:tcPr>
            <w:tcW w:w="278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Wykład, dyskusja, service learning</w:t>
            </w:r>
          </w:p>
        </w:tc>
        <w:tc>
          <w:tcPr>
            <w:tcW w:w="278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Wykład, dyskusja, service learning</w:t>
            </w:r>
          </w:p>
        </w:tc>
        <w:tc>
          <w:tcPr>
            <w:tcW w:w="278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</w:p>
        </w:tc>
        <w:tc>
          <w:tcPr>
            <w:tcW w:w="254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widowControl w:val="0"/>
              <w:suppressAutoHyphens/>
              <w:spacing w:before="0" w:after="20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Wykład, dyskusja, service learning</w:t>
            </w:r>
          </w:p>
        </w:tc>
        <w:tc>
          <w:tcPr>
            <w:tcW w:w="2781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Egzamin </w:t>
            </w:r>
            <w:bookmarkStart w:id="0" w:name="_GoBack"/>
            <w:bookmarkEnd w:id="0"/>
          </w:p>
        </w:tc>
        <w:tc>
          <w:tcPr>
            <w:tcW w:w="254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spacing w:before="0" w:after="0"/>
        <w:rPr>
          <w:rFonts w:cstheme="minorHAnsi"/>
        </w:rPr>
      </w:pPr>
    </w:p>
    <w:p>
      <w:pPr>
        <w:pStyle w:val="22"/>
        <w:ind w:left="1080" w:firstLine="0"/>
        <w:rPr>
          <w:rFonts w:cstheme="minorHAnsi"/>
          <w:b/>
        </w:rPr>
      </w:pPr>
    </w:p>
    <w:p>
      <w:pPr>
        <w:pStyle w:val="22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Kryteria oceny, wagi…</w:t>
      </w:r>
    </w:p>
    <w:p>
      <w:pPr>
        <w:ind w:left="360" w:firstLine="0"/>
        <w:rPr>
          <w:rFonts w:cstheme="minorHAnsi"/>
          <w:bCs/>
        </w:rPr>
      </w:pPr>
      <w:r>
        <w:rPr>
          <w:rFonts w:cstheme="minorHAnsi"/>
          <w:bCs/>
        </w:rPr>
        <w:t>Egzamin: 100%</w:t>
      </w:r>
    </w:p>
    <w:p>
      <w:pPr>
        <w:rPr>
          <w:rFonts w:cstheme="minorHAnsi"/>
          <w:b/>
        </w:rPr>
      </w:pPr>
      <w:r>
        <w:br w:type="page"/>
      </w:r>
    </w:p>
    <w:p>
      <w:pPr>
        <w:pStyle w:val="22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Obciążenie pracą studenta</w:t>
      </w: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4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  <w:i/>
              </w:rPr>
            </w:pPr>
          </w:p>
        </w:tc>
        <w:tc>
          <w:tcPr>
            <w:tcW w:w="452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  <w:i/>
              </w:rPr>
            </w:pPr>
          </w:p>
        </w:tc>
        <w:tc>
          <w:tcPr>
            <w:tcW w:w="452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spacing w:before="0" w:after="0"/>
        <w:rPr>
          <w:rFonts w:cstheme="minorHAnsi"/>
          <w:b/>
        </w:rPr>
      </w:pPr>
    </w:p>
    <w:p>
      <w:pPr>
        <w:pStyle w:val="22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M. Pietraś, Podziały przestrzeni Europy Środkowo-Wschodniej, „Rocznik Instytutu Europy Środkowo-Wschodniej” 17 (2019), z. 1, s. 11-49.</w:t>
            </w:r>
          </w:p>
          <w:p>
            <w:pPr>
              <w:widowControl w:val="0"/>
              <w:suppressAutoHyphens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S. Bieleń, Tożsamość międzynarodowa Federacji Rosyjskiej, Warszawa 2006.</w:t>
            </w:r>
          </w:p>
          <w:p>
            <w:pPr>
              <w:widowControl w:val="0"/>
              <w:suppressAutoHyphens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R. Mazur, Wspólnota Niepodległych Państw – integracja czy dezintegracja?, „Wschodnioznawstwo” 2007, nr 1, s. 169-189.</w:t>
            </w:r>
          </w:p>
          <w:p>
            <w:pPr>
              <w:widowControl w:val="0"/>
              <w:suppressAutoHyphens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Federacja Rosyjska – Wspólnota Niepodległych Państw, red. T. Kapuśniak, IEŚW – Wydawnictwo KUL, Lublin – Warszawa, 2011.</w:t>
            </w:r>
          </w:p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M. Minkina, Kolorowe rewolucje w przestrzeni poradzieckiej. Geneza. Istota. Skutki, Rytm Oficyna Wydawnicza 2018.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</w:rPr>
            </w:pPr>
            <w:r>
              <w:rPr>
                <w:rFonts w:eastAsia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widowControl w:val="0"/>
              <w:suppressAutoHyphens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Ukraina w stosunkach międzynarodowych, red. M. Pietraś, T. Kapuśniak, Wydawnictwo UMCS, Lublin 2007.</w:t>
            </w:r>
          </w:p>
          <w:p>
            <w:pPr>
              <w:widowControl w:val="0"/>
              <w:suppressAutoHyphens/>
              <w:spacing w:before="0" w:after="20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R. Czachor, Transformacja systemu politycznego Białorusi w latach 1988–2001, Wydawnictwo Uczelni Jana Wyżykowskiego, Polkowice 2016.</w:t>
            </w:r>
          </w:p>
          <w:p>
            <w:pPr>
              <w:widowControl w:val="0"/>
              <w:suppressAutoHyphens/>
              <w:spacing w:before="0" w:after="200"/>
              <w:jc w:val="left"/>
              <w:rPr>
                <w:rFonts w:cstheme="minorHAnsi"/>
                <w:b/>
              </w:rPr>
            </w:pPr>
          </w:p>
        </w:tc>
      </w:tr>
    </w:tbl>
    <w:p>
      <w:pPr>
        <w:rPr>
          <w:rFonts w:cstheme="minorHAnsi"/>
        </w:rPr>
      </w:pPr>
    </w:p>
    <w:p>
      <w:pPr>
        <w:widowControl/>
        <w:suppressAutoHyphens/>
        <w:bidi w:val="0"/>
        <w:spacing w:before="0" w:after="200" w:line="276" w:lineRule="auto"/>
        <w:jc w:val="left"/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pgNumType w:fmt="decimal"/>
      <w:cols w:space="720" w:num="1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i/>
      </w:rPr>
    </w:pPr>
    <w:r>
      <w:rPr>
        <w:i/>
      </w:rPr>
      <w:t>Załącznik nr 5</w:t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2A8F537B"/>
    <w:multiLevelType w:val="multilevel"/>
    <w:tmpl w:val="2A8F537B"/>
    <w:lvl w:ilvl="0" w:tentative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706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before="0" w:after="140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1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17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11">
    <w:name w:val="header"/>
    <w:basedOn w:val="1"/>
    <w:next w:val="5"/>
    <w:link w:val="14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12">
    <w:name w:val="List"/>
    <w:basedOn w:val="5"/>
    <w:uiPriority w:val="0"/>
    <w:rPr>
      <w:rFonts w:cs="Arial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Nagłówek Znak"/>
    <w:basedOn w:val="2"/>
    <w:link w:val="11"/>
    <w:qFormat/>
    <w:uiPriority w:val="99"/>
  </w:style>
  <w:style w:type="character" w:customStyle="1" w:styleId="15">
    <w:name w:val="Stopka Znak"/>
    <w:basedOn w:val="2"/>
    <w:link w:val="10"/>
    <w:qFormat/>
    <w:uiPriority w:val="99"/>
  </w:style>
  <w:style w:type="character" w:customStyle="1" w:styleId="16">
    <w:name w:val="Tekst komentarza Znak"/>
    <w:basedOn w:val="2"/>
    <w:link w:val="8"/>
    <w:semiHidden/>
    <w:qFormat/>
    <w:uiPriority w:val="99"/>
    <w:rPr>
      <w:sz w:val="20"/>
      <w:szCs w:val="20"/>
    </w:rPr>
  </w:style>
  <w:style w:type="character" w:customStyle="1" w:styleId="17">
    <w:name w:val="Temat komentarza Znak"/>
    <w:basedOn w:val="16"/>
    <w:link w:val="9"/>
    <w:semiHidden/>
    <w:qFormat/>
    <w:uiPriority w:val="99"/>
    <w:rPr>
      <w:b/>
      <w:bCs/>
      <w:sz w:val="20"/>
      <w:szCs w:val="20"/>
    </w:rPr>
  </w:style>
  <w:style w:type="character" w:customStyle="1" w:styleId="18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9">
    <w:name w:val="Nagłówek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0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21">
    <w:name w:val="Główka i stopka"/>
    <w:basedOn w:val="1"/>
    <w:qFormat/>
    <w:uiPriority w:val="0"/>
  </w:style>
  <w:style w:type="paragraph" w:styleId="22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23">
    <w:name w:val="Zawartość tabeli"/>
    <w:basedOn w:val="1"/>
    <w:qFormat/>
    <w:uiPriority w:val="0"/>
    <w:pPr>
      <w:widowControl w:val="0"/>
      <w:suppressLineNumbers/>
    </w:pPr>
  </w:style>
  <w:style w:type="paragraph" w:customStyle="1" w:styleId="24">
    <w:name w:val="Nagłówek tabeli"/>
    <w:basedOn w:val="2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480</Words>
  <Characters>3446</Characters>
  <Paragraphs>121</Paragraphs>
  <TotalTime>9</TotalTime>
  <ScaleCrop>false</ScaleCrop>
  <LinksUpToDate>false</LinksUpToDate>
  <CharactersWithSpaces>3800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2022-11-21T09:14:00Z</dcterms:created>
  <dc:creator>Aleksandra Kuczyńska-Zonik</dc:creator>
  <cp:lastModifiedBy>Aleksandra Kuczyńska</cp:lastModifiedBy>
  <dcterms:modified xsi:type="dcterms:W3CDTF">2023-01-25T12:09:05Z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E71F5122F765456CBA1B75CD7E27205B</vt:lpwstr>
  </property>
</Properties>
</file>