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bookmarkStart w:id="0" w:name="_GoBack"/>
      <w:bookmarkEnd w:id="0"/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211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Nazwa przedmiotu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Organizacja centrum kryzysowego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Nazwa przedmiotu w języku angielskim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lang w:val="en-US" w:eastAsia="pl-PL"/>
              </w:rPr>
              <w:t>Organization of a crisis center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Kierunek studiów 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Bezpieczeństwo narodowe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Poziom studiów (I, II, jednolite magisterskie)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I stopień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Forma studiów (stacjonarne, niestacjonarne)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Stacjonarne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Dyscyplina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Nauki o polityce i administracji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Język wykładowy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1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Koordynator przedmiotu/osoba odpowiedzialna</w:t>
            </w:r>
          </w:p>
        </w:tc>
        <w:tc>
          <w:tcPr>
            <w:tcW w:w="460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Dr Konrad Słowiński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1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2302"/>
        <w:gridCol w:w="2303"/>
        <w:gridCol w:w="2305"/>
        <w:gridCol w:w="2300"/>
      </w:tblGrid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Forma zajęć</w:t>
            </w:r>
            <w:r>
              <w:rPr>
                <w:i/>
                <w:kern w:val="0"/>
                <w:sz w:val="20"/>
              </w:rPr>
              <w:t>(katalog zamknięty ze słownika)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Liczba godzin</w:t>
            </w:r>
          </w:p>
        </w:tc>
        <w:tc>
          <w:tcPr>
            <w:tcW w:w="23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semestr</w:t>
            </w:r>
          </w:p>
        </w:tc>
        <w:tc>
          <w:tcPr>
            <w:tcW w:w="230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Punkty ECTS</w:t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wykład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15</w:t>
            </w:r>
          </w:p>
        </w:tc>
        <w:tc>
          <w:tcPr>
            <w:tcW w:w="23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III</w:t>
            </w:r>
          </w:p>
        </w:tc>
        <w:tc>
          <w:tcPr>
            <w:tcW w:w="2300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4</w:t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konwersatorium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23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2300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ćwiczenia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30</w:t>
            </w:r>
          </w:p>
        </w:tc>
        <w:tc>
          <w:tcPr>
            <w:tcW w:w="23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III</w:t>
            </w:r>
          </w:p>
        </w:tc>
        <w:tc>
          <w:tcPr>
            <w:tcW w:w="2300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laboratorium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23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2300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warsztaty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23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2300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seminarium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23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2300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proseminarium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23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2300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lektorat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23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2300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praktyki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23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2300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zajęcia terenowe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23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2300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pracownia dyplomowa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23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2300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translatorium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23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2300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wizyta studyjna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23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2300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2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2233"/>
        <w:gridCol w:w="6978"/>
      </w:tblGrid>
      <w:tr>
        <w:trPr/>
        <w:tc>
          <w:tcPr>
            <w:tcW w:w="223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Wymagania wstępne</w:t>
            </w:r>
          </w:p>
        </w:tc>
        <w:tc>
          <w:tcPr>
            <w:tcW w:w="697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W1 – zainteresowanie przedmiotem 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212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 xml:space="preserve">C1- Dostarczenie i utrwalenie wiedzy o podstawach zarządzania bezpieczeństwem </w:t>
              <w:br/>
            </w:r>
          </w:p>
        </w:tc>
      </w:tr>
      <w:tr>
        <w:trPr/>
        <w:tc>
          <w:tcPr>
            <w:tcW w:w="92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C2 - Zapoznanie z zadaniami, organizacją i zasadami funkcjonowania organów zarządzania bezpieczeństwem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211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1097"/>
        <w:gridCol w:w="5954"/>
        <w:gridCol w:w="2160"/>
      </w:tblGrid>
      <w:tr>
        <w:trPr/>
        <w:tc>
          <w:tcPr>
            <w:tcW w:w="109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Symbol</w:t>
            </w:r>
          </w:p>
        </w:tc>
        <w:tc>
          <w:tcPr>
            <w:tcW w:w="595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Opis efektu przedmiotowego</w:t>
            </w:r>
          </w:p>
        </w:tc>
        <w:tc>
          <w:tcPr>
            <w:tcW w:w="216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Odniesienie do efektu kierunkowego</w:t>
            </w:r>
          </w:p>
        </w:tc>
      </w:tr>
      <w:tr>
        <w:trPr/>
        <w:tc>
          <w:tcPr>
            <w:tcW w:w="9211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WIEDZA</w:t>
            </w:r>
          </w:p>
        </w:tc>
      </w:tr>
      <w:tr>
        <w:trPr/>
        <w:tc>
          <w:tcPr>
            <w:tcW w:w="109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W_01</w:t>
            </w:r>
          </w:p>
        </w:tc>
        <w:tc>
          <w:tcPr>
            <w:tcW w:w="595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Student definiuje i objaśnia podstawowe terminy z zakresu organizacji i zarządzania bezpieczeństwem</w:t>
            </w:r>
          </w:p>
        </w:tc>
        <w:tc>
          <w:tcPr>
            <w:tcW w:w="2160" w:type="dxa"/>
            <w:tcBorders/>
            <w:shd w:fill="auto" w:val="clear"/>
            <w:vAlign w:val="center"/>
          </w:tcPr>
          <w:p>
            <w:pPr>
              <w:pStyle w:val="NoSpacing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</w:rPr>
              <w:t>K_W02</w:t>
            </w:r>
          </w:p>
          <w:p>
            <w:pPr>
              <w:pStyle w:val="NoSpacing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</w:rPr>
            </w:r>
          </w:p>
        </w:tc>
      </w:tr>
      <w:tr>
        <w:trPr/>
        <w:tc>
          <w:tcPr>
            <w:tcW w:w="109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W_02</w:t>
            </w:r>
          </w:p>
        </w:tc>
        <w:tc>
          <w:tcPr>
            <w:tcW w:w="595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Student objaśnia organizację zarządzania bezpieczeństwem w RP</w:t>
            </w:r>
          </w:p>
        </w:tc>
        <w:tc>
          <w:tcPr>
            <w:tcW w:w="2160" w:type="dxa"/>
            <w:tcBorders/>
            <w:shd w:fill="auto" w:val="clear"/>
            <w:vAlign w:val="center"/>
          </w:tcPr>
          <w:p>
            <w:pPr>
              <w:pStyle w:val="NoSpacing"/>
              <w:widowControl w:val="false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rFonts w:cs="Times New Roman" w:ascii="Times New Roman" w:hAnsi="Times New Roman"/>
                <w:kern w:val="0"/>
              </w:rPr>
              <w:t>K_W03</w:t>
            </w:r>
          </w:p>
          <w:p>
            <w:pPr>
              <w:pStyle w:val="NoSpacing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</w:rPr>
            </w:r>
          </w:p>
        </w:tc>
      </w:tr>
      <w:tr>
        <w:trPr/>
        <w:tc>
          <w:tcPr>
            <w:tcW w:w="9211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UMIEJĘTNOŚCI</w:t>
            </w:r>
          </w:p>
        </w:tc>
      </w:tr>
      <w:tr>
        <w:trPr/>
        <w:tc>
          <w:tcPr>
            <w:tcW w:w="109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U_01</w:t>
            </w:r>
          </w:p>
        </w:tc>
        <w:tc>
          <w:tcPr>
            <w:tcW w:w="595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Student analizuje role administracji publicznej w organizacji i zarządzaniu bezpieczeństwem</w:t>
            </w:r>
          </w:p>
        </w:tc>
        <w:tc>
          <w:tcPr>
            <w:tcW w:w="2160" w:type="dxa"/>
            <w:tcBorders/>
            <w:shd w:fill="auto" w:val="clear"/>
            <w:vAlign w:val="center"/>
          </w:tcPr>
          <w:p>
            <w:pPr>
              <w:pStyle w:val="NoSpacing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cs="Times New Roman" w:ascii="Times New Roman" w:hAnsi="Times New Roman"/>
                <w:kern w:val="0"/>
                <w:lang w:eastAsia="pl-PL"/>
              </w:rPr>
              <w:t>K_U02</w:t>
            </w:r>
          </w:p>
          <w:p>
            <w:pPr>
              <w:pStyle w:val="NoSpacing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</w:rPr>
            </w:r>
          </w:p>
        </w:tc>
      </w:tr>
      <w:tr>
        <w:trPr/>
        <w:tc>
          <w:tcPr>
            <w:tcW w:w="109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U_02</w:t>
            </w:r>
          </w:p>
        </w:tc>
        <w:tc>
          <w:tcPr>
            <w:tcW w:w="595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Student rozwija role organów samorządu terytorialnego w organizacji i zarządzaniu bezpieczeństwem</w:t>
            </w:r>
          </w:p>
        </w:tc>
        <w:tc>
          <w:tcPr>
            <w:tcW w:w="2160" w:type="dxa"/>
            <w:tcBorders/>
            <w:shd w:fill="auto" w:val="clear"/>
            <w:vAlign w:val="center"/>
          </w:tcPr>
          <w:p>
            <w:pPr>
              <w:pStyle w:val="NoSpacing"/>
              <w:widowControl w:val="false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rFonts w:cs="Times New Roman" w:ascii="Times New Roman" w:hAnsi="Times New Roman"/>
                <w:kern w:val="0"/>
                <w:lang w:eastAsia="pl-PL"/>
              </w:rPr>
              <w:t>K_U05</w:t>
            </w:r>
          </w:p>
          <w:p>
            <w:pPr>
              <w:pStyle w:val="NoSpacing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</w:rPr>
            </w:r>
          </w:p>
        </w:tc>
      </w:tr>
      <w:tr>
        <w:trPr/>
        <w:tc>
          <w:tcPr>
            <w:tcW w:w="109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U_03</w:t>
            </w:r>
          </w:p>
        </w:tc>
        <w:tc>
          <w:tcPr>
            <w:tcW w:w="595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Student porządkuje zadania organów samorządu terytorialnego w ramach organizacji i zarządzania bezpieczeństwem w różnych stanach funkcjonowania państwa</w:t>
            </w:r>
          </w:p>
        </w:tc>
        <w:tc>
          <w:tcPr>
            <w:tcW w:w="2160" w:type="dxa"/>
            <w:tcBorders/>
            <w:shd w:fill="auto" w:val="clear"/>
            <w:vAlign w:val="center"/>
          </w:tcPr>
          <w:p>
            <w:pPr>
              <w:pStyle w:val="NoSpacing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cs="Times New Roman" w:ascii="Times New Roman" w:hAnsi="Times New Roman"/>
                <w:kern w:val="0"/>
                <w:lang w:eastAsia="pl-PL"/>
              </w:rPr>
              <w:t>K_U08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</w:r>
          </w:p>
        </w:tc>
      </w:tr>
      <w:tr>
        <w:trPr/>
        <w:tc>
          <w:tcPr>
            <w:tcW w:w="9211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KOMPETENCJE SPOŁECZNE</w:t>
            </w:r>
          </w:p>
        </w:tc>
      </w:tr>
      <w:tr>
        <w:trPr/>
        <w:tc>
          <w:tcPr>
            <w:tcW w:w="109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K_01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K_02</w:t>
            </w:r>
          </w:p>
        </w:tc>
        <w:tc>
          <w:tcPr>
            <w:tcW w:w="595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Student potrafi dostosować się do zasad działania organów samorządu terytorialnego w zakresie kierowania bezpieczeństwem narodowym</w:t>
            </w:r>
          </w:p>
        </w:tc>
        <w:tc>
          <w:tcPr>
            <w:tcW w:w="2160" w:type="dxa"/>
            <w:tcBorders/>
            <w:shd w:fill="auto" w:val="clear"/>
            <w:vAlign w:val="center"/>
          </w:tcPr>
          <w:p>
            <w:pPr>
              <w:pStyle w:val="NoSpacing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cs="Times New Roman" w:ascii="Times New Roman" w:hAnsi="Times New Roman"/>
                <w:kern w:val="0"/>
                <w:lang w:eastAsia="pl-PL"/>
              </w:rPr>
              <w:t>K_K01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lang w:eastAsia="pl-PL"/>
              </w:rPr>
              <w:t>K_K02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212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 xml:space="preserve">1. Bezpieczeństwo i jego zagrożenia </w:t>
              <w:br/>
              <w:t xml:space="preserve">2. Organizacja i zarządzanie bezpieczeństwem </w:t>
              <w:br/>
              <w:t xml:space="preserve">3. Organizacja i zarządzanie centrum kryzysowym na poziomie centralnym administracji publicznej (zespolonej i niezespolonej) </w:t>
              <w:br/>
              <w:t xml:space="preserve">4. Organizacja i zarządzanie centrum kryzysowym na szczeblu województwa </w:t>
              <w:br/>
              <w:t>5. Organizacja i zarządzanie centrum kryzysowym na szczeblu powiatu i gminy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212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1098"/>
        <w:gridCol w:w="2695"/>
        <w:gridCol w:w="2835"/>
        <w:gridCol w:w="2583"/>
      </w:tblGrid>
      <w:tr>
        <w:trPr/>
        <w:tc>
          <w:tcPr>
            <w:tcW w:w="109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Symbol efektu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Metody dydaktyczne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i/>
                <w:kern w:val="0"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Metody weryfikacji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i/>
                <w:kern w:val="0"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Sposoby dokumentacji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i/>
                <w:kern w:val="0"/>
                <w:sz w:val="18"/>
                <w:szCs w:val="18"/>
              </w:rPr>
              <w:t>(lista wyboru)</w:t>
            </w:r>
          </w:p>
        </w:tc>
      </w:tr>
      <w:tr>
        <w:trPr/>
        <w:tc>
          <w:tcPr>
            <w:tcW w:w="9211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WIEDZA</w:t>
            </w:r>
          </w:p>
        </w:tc>
      </w:tr>
      <w:tr>
        <w:trPr/>
        <w:tc>
          <w:tcPr>
            <w:tcW w:w="109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W_01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Wykład konwersatoryjny</w:t>
            </w:r>
          </w:p>
        </w:tc>
        <w:tc>
          <w:tcPr>
            <w:tcW w:w="283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Egzamin</w:t>
            </w:r>
          </w:p>
        </w:tc>
        <w:tc>
          <w:tcPr>
            <w:tcW w:w="258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Protokół</w:t>
            </w:r>
          </w:p>
        </w:tc>
      </w:tr>
      <w:tr>
        <w:trPr/>
        <w:tc>
          <w:tcPr>
            <w:tcW w:w="109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W_02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Wykład konwersatoryjny</w:t>
            </w:r>
          </w:p>
        </w:tc>
        <w:tc>
          <w:tcPr>
            <w:tcW w:w="283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Egzamin</w:t>
            </w:r>
          </w:p>
        </w:tc>
        <w:tc>
          <w:tcPr>
            <w:tcW w:w="258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Protokół</w:t>
            </w:r>
          </w:p>
        </w:tc>
      </w:tr>
      <w:tr>
        <w:trPr/>
        <w:tc>
          <w:tcPr>
            <w:tcW w:w="9211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UMIEJĘTNOŚCI</w:t>
            </w:r>
          </w:p>
        </w:tc>
      </w:tr>
      <w:tr>
        <w:trPr/>
        <w:tc>
          <w:tcPr>
            <w:tcW w:w="109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U_01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Dyskusja</w:t>
            </w:r>
          </w:p>
        </w:tc>
        <w:tc>
          <w:tcPr>
            <w:tcW w:w="283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Egzamin</w:t>
            </w:r>
          </w:p>
        </w:tc>
        <w:tc>
          <w:tcPr>
            <w:tcW w:w="258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Protokół</w:t>
            </w:r>
          </w:p>
        </w:tc>
      </w:tr>
      <w:tr>
        <w:trPr/>
        <w:tc>
          <w:tcPr>
            <w:tcW w:w="109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U_02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Dyskusja</w:t>
            </w:r>
          </w:p>
        </w:tc>
        <w:tc>
          <w:tcPr>
            <w:tcW w:w="283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Egzamin</w:t>
            </w:r>
          </w:p>
        </w:tc>
        <w:tc>
          <w:tcPr>
            <w:tcW w:w="258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Protokół</w:t>
            </w:r>
          </w:p>
        </w:tc>
      </w:tr>
      <w:tr>
        <w:trPr/>
        <w:tc>
          <w:tcPr>
            <w:tcW w:w="109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U_03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Dyskusja</w:t>
            </w:r>
          </w:p>
        </w:tc>
        <w:tc>
          <w:tcPr>
            <w:tcW w:w="283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Egzamin</w:t>
            </w:r>
          </w:p>
        </w:tc>
        <w:tc>
          <w:tcPr>
            <w:tcW w:w="258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Protokół</w:t>
            </w:r>
          </w:p>
        </w:tc>
      </w:tr>
      <w:tr>
        <w:trPr/>
        <w:tc>
          <w:tcPr>
            <w:tcW w:w="9211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KOMPETENCJE SPOŁECZNE</w:t>
            </w:r>
          </w:p>
        </w:tc>
      </w:tr>
      <w:tr>
        <w:trPr/>
        <w:tc>
          <w:tcPr>
            <w:tcW w:w="109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K_01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Dyskusja</w:t>
            </w:r>
          </w:p>
        </w:tc>
        <w:tc>
          <w:tcPr>
            <w:tcW w:w="283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Egzamin</w:t>
            </w:r>
          </w:p>
        </w:tc>
        <w:tc>
          <w:tcPr>
            <w:tcW w:w="258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Protokół</w:t>
            </w:r>
          </w:p>
        </w:tc>
      </w:tr>
      <w:tr>
        <w:trPr/>
        <w:tc>
          <w:tcPr>
            <w:tcW w:w="109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K_02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Dyskusja</w:t>
            </w:r>
          </w:p>
        </w:tc>
        <w:tc>
          <w:tcPr>
            <w:tcW w:w="283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Egzamin</w:t>
            </w:r>
          </w:p>
        </w:tc>
        <w:tc>
          <w:tcPr>
            <w:tcW w:w="258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Protokół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rPr/>
      </w:pPr>
      <w:r>
        <w:rPr>
          <w:rFonts w:cs="Times New Roman" w:ascii="Times New Roman" w:hAnsi="Times New Roman"/>
        </w:rPr>
        <w:t>Obecność i aktywność na zajęciach. Zaliczenie pisemne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211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Forma aktywności studenta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Liczba godzin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kern w:val="0"/>
                <w:sz w:val="20"/>
                <w:szCs w:val="18"/>
              </w:rPr>
            </w:r>
          </w:p>
        </w:tc>
        <w:tc>
          <w:tcPr>
            <w:tcW w:w="460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0"/>
              </w:rPr>
              <w:t>45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Liczba godzin indywidualnej pracy studenta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kern w:val="0"/>
                <w:sz w:val="20"/>
                <w:szCs w:val="18"/>
              </w:rPr>
            </w:r>
          </w:p>
        </w:tc>
        <w:tc>
          <w:tcPr>
            <w:tcW w:w="460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0"/>
              </w:rPr>
              <w:t>75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212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Literatura podstawowa</w:t>
            </w:r>
          </w:p>
        </w:tc>
      </w:tr>
      <w:tr>
        <w:trPr/>
        <w:tc>
          <w:tcPr>
            <w:tcW w:w="92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 xml:space="preserve">1. A. Misiuk, </w:t>
            </w:r>
            <w:r>
              <w:rPr>
                <w:rFonts w:cs="Times New Roman" w:ascii="Times New Roman" w:hAnsi="Times New Roman"/>
                <w:i/>
                <w:kern w:val="0"/>
                <w:sz w:val="20"/>
              </w:rPr>
              <w:t>Administracja porządku i bezpieczeństwa publicznego</w:t>
            </w:r>
            <w:r>
              <w:rPr>
                <w:rFonts w:cs="Times New Roman" w:ascii="Times New Roman" w:hAnsi="Times New Roman"/>
                <w:kern w:val="0"/>
                <w:sz w:val="20"/>
              </w:rPr>
              <w:t xml:space="preserve">, Wydawnictwo Akademickie </w:t>
              <w:br/>
              <w:t>i Profesjonalne, Warszawa, 2008.</w:t>
              <w:br/>
              <w:t xml:space="preserve">2. J. Kaczmarek, </w:t>
            </w:r>
            <w:r>
              <w:rPr>
                <w:rFonts w:cs="Times New Roman" w:ascii="Times New Roman" w:hAnsi="Times New Roman"/>
                <w:i/>
                <w:kern w:val="0"/>
                <w:sz w:val="20"/>
              </w:rPr>
              <w:t>Współczesne bezpieczeństwo</w:t>
            </w:r>
            <w:r>
              <w:rPr>
                <w:rFonts w:cs="Times New Roman" w:ascii="Times New Roman" w:hAnsi="Times New Roman"/>
                <w:kern w:val="0"/>
                <w:sz w:val="20"/>
              </w:rPr>
              <w:t>, AON, Warszawa, 2008.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 xml:space="preserve">3. J. Rajchel, E. Dubios, </w:t>
            </w:r>
            <w:r>
              <w:rPr>
                <w:rFonts w:cs="Times New Roman" w:ascii="Times New Roman" w:hAnsi="Times New Roman"/>
                <w:i/>
                <w:iCs/>
                <w:kern w:val="0"/>
                <w:sz w:val="20"/>
              </w:rPr>
              <w:t xml:space="preserve">Administracja wobec wyzwań bezpieczeństwa państwa i porządku publicznego, </w:t>
            </w:r>
            <w:r>
              <w:rPr>
                <w:rFonts w:cs="Times New Roman" w:ascii="Times New Roman" w:hAnsi="Times New Roman"/>
                <w:i w:val="false"/>
                <w:iCs w:val="false"/>
                <w:kern w:val="0"/>
                <w:sz w:val="20"/>
              </w:rPr>
              <w:t>Wydawnictwo Wyższej Szkoły Oficerskiej Sił Powietrznych,</w:t>
            </w:r>
            <w:r>
              <w:rPr>
                <w:rFonts w:cs="Times New Roman" w:ascii="Times New Roman" w:hAnsi="Times New Roman"/>
                <w:i/>
                <w:iCs/>
                <w:kern w:val="0"/>
                <w:sz w:val="20"/>
              </w:rPr>
              <w:t xml:space="preserve"> </w:t>
            </w:r>
            <w:r>
              <w:rPr>
                <w:rFonts w:cs="Times New Roman" w:ascii="Times New Roman" w:hAnsi="Times New Roman"/>
                <w:i w:val="false"/>
                <w:iCs w:val="false"/>
                <w:kern w:val="0"/>
                <w:sz w:val="20"/>
              </w:rPr>
              <w:t>Dęblin, 2016.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kern w:val="0"/>
                <w:sz w:val="20"/>
              </w:rPr>
              <w:t xml:space="preserve">4. A. Warmiński, </w:t>
            </w:r>
            <w:r>
              <w:rPr>
                <w:rFonts w:cs="Times New Roman" w:ascii="Times New Roman" w:hAnsi="Times New Roman"/>
                <w:i/>
                <w:iCs/>
                <w:kern w:val="0"/>
                <w:sz w:val="20"/>
              </w:rPr>
              <w:t xml:space="preserve">Administracja bezpieczeństwa i porządku publicznego w Polsce, </w:t>
            </w:r>
            <w:r>
              <w:rPr>
                <w:rFonts w:cs="Times New Roman" w:ascii="Times New Roman" w:hAnsi="Times New Roman"/>
                <w:i w:val="false"/>
                <w:iCs w:val="false"/>
                <w:kern w:val="0"/>
                <w:sz w:val="20"/>
              </w:rPr>
              <w:t>Elipsa, Warszawa, 2013.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kern w:val="0"/>
                <w:sz w:val="20"/>
              </w:rPr>
              <w:t xml:space="preserve">5. S. Piperzny, </w:t>
            </w:r>
            <w:r>
              <w:rPr>
                <w:rFonts w:cs="Times New Roman" w:ascii="Times New Roman" w:hAnsi="Times New Roman"/>
                <w:i/>
                <w:iCs/>
                <w:kern w:val="0"/>
                <w:sz w:val="20"/>
              </w:rPr>
              <w:t xml:space="preserve">Ochrona bezpieczeństwa i porządku publicznego w prawie administracyjny, </w:t>
            </w:r>
            <w:r>
              <w:rPr>
                <w:rFonts w:cs="Times New Roman" w:ascii="Times New Roman" w:hAnsi="Times New Roman"/>
                <w:i w:val="false"/>
                <w:iCs w:val="false"/>
                <w:kern w:val="0"/>
                <w:sz w:val="20"/>
              </w:rPr>
              <w:t xml:space="preserve">Wydawnictwo Uniwersytetu Rzeszowskiego, Rzeszów, 2007. </w:t>
            </w:r>
            <w:r>
              <w:rPr>
                <w:rFonts w:cs="Times New Roman" w:ascii="Times New Roman" w:hAnsi="Times New Roman"/>
                <w:kern w:val="0"/>
                <w:sz w:val="20"/>
              </w:rPr>
              <w:br/>
              <w:t xml:space="preserve">6. </w:t>
            </w:r>
            <w:r>
              <w:rPr>
                <w:rFonts w:cs="Times New Roman" w:ascii="Times New Roman" w:hAnsi="Times New Roman"/>
                <w:i/>
                <w:kern w:val="0"/>
                <w:sz w:val="20"/>
              </w:rPr>
              <w:t>Zadania obronne samorządu terytorialnego</w:t>
            </w:r>
            <w:r>
              <w:rPr>
                <w:rFonts w:cs="Times New Roman" w:ascii="Times New Roman" w:hAnsi="Times New Roman"/>
                <w:kern w:val="0"/>
                <w:sz w:val="20"/>
              </w:rPr>
              <w:t>, W. Kitler (red.), AON, Warszawa, 2009.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 xml:space="preserve">7. </w:t>
            </w:r>
            <w:r>
              <w:rPr>
                <w:rFonts w:cs="Times New Roman" w:ascii="Times New Roman" w:hAnsi="Times New Roman"/>
                <w:i/>
                <w:iCs/>
                <w:kern w:val="0"/>
                <w:sz w:val="20"/>
              </w:rPr>
              <w:t xml:space="preserve">Zagadnienia ogólne z zakresu zarządzania ryzykiem i zarządzania kryzysowego. Analiza wybranych przepisów, </w:t>
            </w:r>
            <w:r>
              <w:rPr>
                <w:rFonts w:cs="Times New Roman" w:ascii="Times New Roman" w:hAnsi="Times New Roman"/>
                <w:i w:val="false"/>
                <w:iCs w:val="false"/>
                <w:kern w:val="0"/>
                <w:sz w:val="20"/>
              </w:rPr>
              <w:t>D. Wróblewski (red.), Centrum Naukowo Badawcze Ochrony Przeciwpożarowej, Józefów 2014.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kern w:val="0"/>
                <w:sz w:val="20"/>
              </w:rPr>
              <w:t xml:space="preserve">8. K. </w:t>
            </w:r>
            <w:bookmarkStart w:id="1" w:name="__DdeLink__970_365689996"/>
            <w:r>
              <w:rPr>
                <w:rFonts w:cs="Times New Roman" w:ascii="Times New Roman" w:hAnsi="Times New Roman"/>
                <w:i w:val="false"/>
                <w:iCs w:val="false"/>
                <w:kern w:val="0"/>
                <w:sz w:val="20"/>
              </w:rPr>
              <w:t xml:space="preserve">Sienkiewicz-Małyjurek, F. R. Krynojewski, </w:t>
            </w:r>
            <w:r>
              <w:rPr>
                <w:rFonts w:cs="Times New Roman" w:ascii="Times New Roman" w:hAnsi="Times New Roman"/>
                <w:i/>
                <w:iCs/>
                <w:kern w:val="0"/>
                <w:sz w:val="20"/>
              </w:rPr>
              <w:t>Zarządzanie kryzysowe w administracji public</w:t>
            </w:r>
            <w:bookmarkEnd w:id="1"/>
            <w:r>
              <w:rPr>
                <w:rFonts w:cs="Times New Roman" w:ascii="Times New Roman" w:hAnsi="Times New Roman"/>
                <w:i/>
                <w:iCs/>
                <w:kern w:val="0"/>
                <w:sz w:val="20"/>
              </w:rPr>
              <w:t>znej</w:t>
            </w:r>
            <w:r>
              <w:rPr>
                <w:rFonts w:cs="Times New Roman" w:ascii="Times New Roman" w:hAnsi="Times New Roman"/>
                <w:i w:val="false"/>
                <w:iCs w:val="false"/>
                <w:kern w:val="0"/>
                <w:sz w:val="20"/>
              </w:rPr>
              <w:t>, Wyd. 2, Difin, Warszawa 2016.</w:t>
            </w:r>
          </w:p>
        </w:tc>
      </w:tr>
      <w:tr>
        <w:trPr/>
        <w:tc>
          <w:tcPr>
            <w:tcW w:w="92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Literatura uzupełniająca</w:t>
            </w:r>
          </w:p>
        </w:tc>
      </w:tr>
      <w:tr>
        <w:trPr/>
        <w:tc>
          <w:tcPr>
            <w:tcW w:w="92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 xml:space="preserve">1. W. Kitler, </w:t>
            </w:r>
            <w:r>
              <w:rPr>
                <w:rFonts w:cs="Times New Roman" w:ascii="Times New Roman" w:hAnsi="Times New Roman"/>
                <w:i/>
                <w:kern w:val="0"/>
                <w:sz w:val="20"/>
              </w:rPr>
              <w:t>Samorząd terytorialny w obronie narodowej RP</w:t>
            </w:r>
            <w:r>
              <w:rPr>
                <w:rFonts w:cs="Times New Roman" w:ascii="Times New Roman" w:hAnsi="Times New Roman"/>
                <w:kern w:val="0"/>
                <w:sz w:val="20"/>
              </w:rPr>
              <w:t>, AON, Warszawa, 2005.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 xml:space="preserve">2. </w:t>
            </w:r>
            <w:r>
              <w:rPr>
                <w:rFonts w:cs="Times New Roman" w:ascii="Times New Roman" w:hAnsi="Times New Roman"/>
                <w:i/>
                <w:iCs/>
                <w:kern w:val="0"/>
                <w:sz w:val="20"/>
              </w:rPr>
              <w:t xml:space="preserve">System bezpieczeństwa i porządku publicznego. Organy i inne podmioty administracji, </w:t>
            </w:r>
            <w:r>
              <w:rPr>
                <w:rFonts w:cs="Times New Roman" w:ascii="Times New Roman" w:hAnsi="Times New Roman"/>
                <w:i w:val="false"/>
                <w:iCs w:val="false"/>
                <w:kern w:val="0"/>
                <w:sz w:val="20"/>
              </w:rPr>
              <w:t>M. Zdyb, J. Stelmasiak, K. Sikora (red.), Wolters Kluwer, Warszawa, 2015.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kern w:val="0"/>
                <w:sz w:val="20"/>
              </w:rPr>
              <w:t xml:space="preserve">3. </w:t>
            </w:r>
            <w:r>
              <w:rPr>
                <w:rFonts w:cs="Times New Roman" w:ascii="Times New Roman" w:hAnsi="Times New Roman"/>
                <w:i/>
                <w:iCs/>
                <w:kern w:val="0"/>
                <w:sz w:val="20"/>
              </w:rPr>
              <w:t xml:space="preserve">Praktyczne aspekty współdziałania terenowych organów administracji wojskowej i administracji publicznej w sytuacjach kryzysowych, </w:t>
            </w:r>
            <w:r>
              <w:rPr>
                <w:rFonts w:cs="Times New Roman" w:ascii="Times New Roman" w:hAnsi="Times New Roman"/>
                <w:i w:val="false"/>
                <w:iCs w:val="false"/>
                <w:kern w:val="0"/>
                <w:sz w:val="20"/>
              </w:rPr>
              <w:t>P. Polko, M Walancik, Wyższa Szkoła Biznesu w Dąbrowie Górniczej, Dąbrowa Górnicza, 2015.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kern w:val="0"/>
                <w:sz w:val="20"/>
              </w:rPr>
              <w:t xml:space="preserve">4. K. Ficoń, </w:t>
            </w:r>
            <w:r>
              <w:rPr>
                <w:rFonts w:cs="Times New Roman" w:ascii="Times New Roman" w:hAnsi="Times New Roman"/>
                <w:i/>
                <w:iCs/>
                <w:kern w:val="0"/>
                <w:sz w:val="20"/>
              </w:rPr>
              <w:t xml:space="preserve">Logistyka kryzysowa. Procedury, potrzeby, potencjał, </w:t>
            </w:r>
            <w:r>
              <w:rPr>
                <w:rFonts w:cs="Times New Roman" w:ascii="Times New Roman" w:hAnsi="Times New Roman"/>
                <w:i w:val="false"/>
                <w:iCs w:val="false"/>
                <w:kern w:val="0"/>
                <w:sz w:val="20"/>
              </w:rPr>
              <w:t>BEL Studio, Warszawa 2011.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6788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semiHidden/>
    <w:qFormat/>
    <w:rsid w:val="005c7722"/>
    <w:rPr>
      <w:rFonts w:ascii="Courier New" w:hAnsi="Courier New" w:eastAsia="Times New Roman" w:cs="Courier New"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b142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HTMLPreformatted">
    <w:name w:val="HTML Preformatted"/>
    <w:basedOn w:val="Normal"/>
    <w:link w:val="HTML-wstpniesformatowanyZnak"/>
    <w:uiPriority w:val="99"/>
    <w:semiHidden/>
    <w:unhideWhenUsed/>
    <w:qFormat/>
    <w:rsid w:val="005c7722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3CF0F-05DC-464F-A48B-D1DE2289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Application>LibreOffice/7.2.6.2$Windows_X86_64 LibreOffice_project/b0ec3a565991f7569a5a7f5d24fed7f52653d754</Application>
  <AppVersion>15.0000</AppVersion>
  <DocSecurity>0</DocSecurity>
  <Pages>4</Pages>
  <Words>568</Words>
  <Characters>4077</Characters>
  <CharactersWithSpaces>4515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2019-06-22T12:49:00Z</dcterms:created>
  <dc:creator>Anna Łukasiewicz</dc:creator>
  <dc:description/>
  <dc:language>pl-PL</dc:language>
  <cp:lastModifiedBy/>
  <cp:lastPrinted>2019-01-23T11:10:00Z</cp:lastPrinted>
  <dcterms:modified xsi:type="dcterms:W3CDTF">2023-11-20T12:07:52Z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