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Przestępczo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ść gospodarcza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Economic crime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(stacjonarne I stopnia)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zh-CN" w:bidi="ar-SA"/>
              </w:rPr>
              <w:t>nauki o zarządzaniu i jakości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prof., dr. hab.  Kateryna Vaskivska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256"/>
        <w:gridCol w:w="2260"/>
        <w:gridCol w:w="2258"/>
      </w:tblGrid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Dla pełnego opanowania treść przedmiotu, student musi posiadać ogólną wiedzę z zakresu historii integracji europejskiej, prawa oraz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musi posiadać ogólną wiedzę z zakresu zapobiegania przestępczości gospodarczej.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Cele kształcenia dla przedmiotu 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056"/>
      </w:tblGrid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Zapoznanie studentów z podstawowymi koncepcjami teoretycznymi, z nowymi rodzajami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w zakresie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przestępczości gospodarczej;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Zapoznanie studentów z problematyką sprawców, ofiar oraz pokrzywdzonych przestępstwami gospodarczymi; 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Zapoznanie studentów z karnymi i pozakarnymi metodami i środkami zwalczani i zapobiegania przestępczości gospodarczej oraz ograniczeniami skuteczności zwalczania tej przestępczości.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color w:val="666666"/>
          <w:sz w:val="18"/>
          <w:szCs w:val="18"/>
          <w:shd w:fill="FFFFFF" w:val="clear"/>
        </w:rPr>
        <w:t> </w:t>
      </w: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III.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Efekty uczenia się dla przedmiotu wraz z odniesieniem do efektów kierunkowych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080"/>
        <w:gridCol w:w="5817"/>
        <w:gridCol w:w="2159"/>
      </w:tblGrid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Symbol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Opis efektu przedmiotowego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Odniesienie do efektu kierunkowego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Student zna i rozumie wiązania między warunkami gospodsrczymi o rodzajami przestępczości gospodarczej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zna czynniki wpływające na przestępczość gospodarczą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student zna metody zapobiegania i zwalczania przestępczości gospodarczej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UMIEJĘTNOŚCI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Srudent potrafi </w:t>
            </w:r>
            <w:r>
              <w:rPr>
                <w:rFonts w:cs="Times New Roman" w:ascii="Times New Roman" w:hAnsi="Times New Roman"/>
              </w:rPr>
              <w:t>interpretować dane statystyczne dotyczące rozmiarów i dynamiki przestępczości gospodarczej, w szczególności potrafi wskazać przyczyny zmian jakie zachodzą w obrębie tych miar przestępczości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Student potrafi zidentyfikować określone rodzaje przestępstw gospodarczych i uzasadnić sposoby ich zapobiegania.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KOMPETENCJE SPOŁECZNE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Wykazuje zaangażowanie w realizację zadań z zakresu przestępczości gospodarczej, zarówno indywidualnych, jak i zespołowych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Nawiązuje kontakty indywidualne i instytucjonalne niezbędne do zapobiegania przestępczości gospodarczej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left="108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Opis przedmiotu/ treści programowe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Pojęcie </w:t>
      </w:r>
      <w:r>
        <w:rPr>
          <w:rFonts w:cs="Times New Roman" w:ascii="Times New Roman" w:hAnsi="Times New Roman"/>
          <w:sz w:val="24"/>
          <w:szCs w:val="24"/>
          <w:lang w:val="uk-UA"/>
        </w:rPr>
        <w:t>«</w:t>
      </w:r>
      <w:r>
        <w:rPr>
          <w:rFonts w:cs="Times New Roman" w:ascii="Times New Roman" w:hAnsi="Times New Roman"/>
          <w:sz w:val="24"/>
          <w:szCs w:val="24"/>
        </w:rPr>
        <w:t>przestępczości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z w:val="24"/>
          <w:szCs w:val="24"/>
          <w:lang w:val="uk-UA"/>
        </w:rPr>
        <w:t>«</w:t>
      </w:r>
      <w:r>
        <w:rPr>
          <w:rFonts w:cs="Times New Roman" w:ascii="Times New Roman" w:hAnsi="Times New Roman"/>
          <w:sz w:val="24"/>
          <w:szCs w:val="24"/>
        </w:rPr>
        <w:t>przestępczości gospodarczej</w:t>
      </w:r>
      <w:r>
        <w:rPr>
          <w:rFonts w:cs="Times New Roman" w:ascii="Times New Roman" w:hAnsi="Times New Roman"/>
          <w:sz w:val="24"/>
          <w:szCs w:val="24"/>
          <w:lang w:val="uk-UA"/>
        </w:rPr>
        <w:t>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Przestępczość gospodarcza w rozwoju historycznym 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Cechy charakterystyczne przestępczości gospodarczej. Definiowanie zjawiska zorientowane na czyn. Definiowanie zjawiska zorientowane na sprawcę. 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Przestępczość „białych kołnierzyków” i koncepcja trójkąta oszustw z jej trzema elementami.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Przestępczość</w:t>
      </w:r>
      <w:r>
        <w:rPr>
          <w:rFonts w:cs="Times New Roman" w:ascii="Times New Roman" w:hAnsi="Times New Roman"/>
          <w:sz w:val="24"/>
          <w:szCs w:val="24"/>
        </w:rPr>
        <w:t xml:space="preserve">  i rynek finansowy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Przestępczość</w:t>
      </w:r>
      <w:r>
        <w:rPr>
          <w:rFonts w:cs="Times New Roman" w:ascii="Times New Roman" w:hAnsi="Times New Roman"/>
          <w:sz w:val="24"/>
          <w:szCs w:val="24"/>
        </w:rPr>
        <w:t xml:space="preserve">  i rynek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energetyki.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Przestępczość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problemy w obszarze zarządzania ludźmi.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Ofiary i pokrzywdzeni przestępstwami gospodarczym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. 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Przestępczość socjalna i gospodarcza – podobieństwa i różnice.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Zapobieganie przestępczości gospodarczej. Osobowe i rzeczowe środki zapobiegania przestępczości gospodarczej. Karne i pozakarne środki zwalczania przestępczości gospodarczej.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sz w:val="18"/>
          <w:szCs w:val="18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Metody realizacji i weryfikacji efektów uczenia się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078"/>
        <w:gridCol w:w="2640"/>
        <w:gridCol w:w="2774"/>
        <w:gridCol w:w="2563"/>
      </w:tblGrid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Symbol efektu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Metody dydaktyczne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Metody weryfikacji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Sposoby dokumentacji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(lista wyboru)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WIEDZA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Studium przypadku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Prezentacja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oceny/Raport z obserwacji 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Studium przypadku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Prezentacja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oceny/Raport z obserwacji 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UMIEJĘTNOŚCI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Metoda problemowa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PBL (Problem-Based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Learning)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Sprawozdanie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Protokół / Wydruk / Plik sprawozdania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w zespołach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Obserwacja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 pracy w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grupie </w:t>
            </w:r>
          </w:p>
        </w:tc>
      </w:tr>
      <w:tr>
        <w:trPr>
          <w:trHeight w:val="300" w:hRule="atLeast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KOMPETENCJE SPOŁECZNE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Metoda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/ wykonanie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K_02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Metoda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/ wykonanie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Karta oceny projektu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Kryteria oceny, wagi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Konwersatorium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końcowe Zal. na ocenę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składa się: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aktywne uczestnictwo w zajęciach (30 pkt)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- wykonanie konkretnych zadań postawionych przez prowadzącego na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poszczególnych etapach realizacji programu zajęć (20 pkt)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wykonanie testy </w:t>
      </w:r>
      <w:r>
        <w:rPr>
          <w:rFonts w:cs="Times New Roman" w:ascii="Times New Roman" w:hAnsi="Times New Roman"/>
          <w:sz w:val="24"/>
          <w:szCs w:val="24"/>
        </w:rPr>
        <w:t xml:space="preserve">składającego się z 20 pytań z wariantowymi odpowiedziami.Student wybiera prawidłową odpowiedź w oparciu o uzyskaną wiedzę oraz umiejętności analizy zjawiska przestępczości gospodarczej </w:t>
      </w:r>
      <w:r>
        <w:rPr>
          <w:rFonts w:cs="Times New Roman" w:ascii="Times New Roman" w:hAnsi="Times New Roman"/>
          <w:sz w:val="24"/>
          <w:szCs w:val="24"/>
          <w:lang w:val="uk-UA"/>
        </w:rPr>
        <w:t>(25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pkt</w:t>
      </w:r>
      <w:r>
        <w:rPr>
          <w:rFonts w:cs="Times New Roman" w:ascii="Times New Roman" w:hAnsi="Times New Roman"/>
          <w:sz w:val="24"/>
          <w:szCs w:val="24"/>
          <w:lang w:val="uk-UA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- zaliczenie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indywidualnego zadania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(25 pkt)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uzyskania oceny pozytywnej wymagane jest uzyskanie 51 pkt. Maksymalna liczba punktów wynosi 100 pkt.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Kryteria oceny: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91-100 punktów – ocena 5.0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81-90 punktów – ocena 4.5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71-80 punktów – ocena 4.0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61-70 punktów – ocena 3.5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51-60 punktów – ocena 3.0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Obciążenie pracą studenta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tbl>
      <w:tblPr>
        <w:tblW w:w="904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529"/>
        <w:gridCol w:w="4515"/>
      </w:tblGrid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Forma aktywności studenta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 kontaktowych z nauczycielem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 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 godzin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godzin indywidualnej pracy studenta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15 godzin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Literatura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056"/>
      </w:tblGrid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Literatura podstawowa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Błachut, A. Gaberle, K. Krajewski, Kryminologia, Gdańsk 2004, rozdz. VI, par. 2 i 3. W. Dadak, Ryzyko wiktymizacji uczestników obrotu gospodarczego przestępstwami gospodarczymi. Czasopismo Prawa Karnego i Nauk Penalnych, 2009, z. 2, s. 229-242.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Ciszewska N. Przestępstwa  gospodarcze istota i rodzaje. Uniwersytet Mikołaja Kopernika Toruń. 2016. URL: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Przestępstwa_gospodarcze_istota_i_r.pdf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Identyfikacja przyczyn przest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czo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 w wybranych obszarach gospodarki w Polsce i na świecie. Monografia. Redakcja: Radosław Koszewski, Bartłomiej Oręziak, Marcin Wiele. Wyd.: Instytut wymiaru sprawiedliwo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ś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ci. Warszczawa, 2021. 290 s. URL: </w:t>
            </w:r>
            <w:hyperlink r:id="rId3" w:tgtFrame="_blank">
              <w:r>
                <w:rPr>
                  <w:rStyle w:val="Czeinternetowe"/>
                  <w:rFonts w:cs="Times New Roman" w:ascii="Times New Roman" w:hAnsi="Times New Roman"/>
                  <w:color w:val="0070C0"/>
                  <w:sz w:val="24"/>
                  <w:szCs w:val="24"/>
                  <w:shd w:fill="FAFAFA" w:val="clear"/>
                </w:rPr>
                <w:t>https://sin.akademia.mil.pl/publications/details/i6159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Kukuła Z., Przestępczość socjalna z perspektywy prawa karnego i kryminologii, Warszawa 2016.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Kakula Z. Przestępczość socjalna i gospodarcza – podobieństwa i różnice (zagadnienia teoretyczne). URL: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file:///C:/Users/Dell/Downloads/Ubezpieczenia%20spo%20eczne%20nr%202_2018_Kuku%20a%20(1).pdf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Kodeks karny. Ustawa z dnia 6 czerwca 1997 r. Dz. U. 1997 Nr 88 poz. 553. URL: </w:t>
            </w:r>
            <w:r>
              <w:rPr>
                <w:color w:val="0070C0"/>
                <w:u w:val="single"/>
              </w:rPr>
              <w:t>https://isap.sejm.gov.pl/isap.nsf/download.xsp/WDU19970880553/U/D19970553Lj.pdf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Sarnecki P., Uwaga 3 do art. 47, w: L. Garlicki, M. Zubik (red.), Konstytucja Rzeczypospolitej Polskiej. Komentarz, t. 2, Wyd. Sejmowe, Warszawa 2016.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Literatura uzupełniająca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Barta J., Fajgielski P., Markiewicz R., Ochrona danych osobowych. Komentarz, Lex a Wolters Kluwer business, Kraków 2007.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O. Górniok. Przestępczość gospodarcza i jej zwalczanie. Warszawa 1994. Rozdz. I-V, VII-XI.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Sobczyk P., Ochrona danych osobowych jako element prawa do prywatności, „Zeszyty Prawnicze UKSW”, 2009, nr 9 (1).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b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501"/>
        </w:tabs>
        <w:ind w:left="501" w:hanging="360"/>
      </w:pPr>
      <w:rPr>
        <w:lang w:val="pl-PL"/>
      </w:rPr>
    </w:lvl>
    <w:lvl w:ilvl="1">
      <w:start w:val="1"/>
      <w:numFmt w:val="upperRoman"/>
      <w:lvlText w:val="%2."/>
      <w:lvlJc w:val="right"/>
      <w:pPr>
        <w:tabs>
          <w:tab w:val="num" w:pos="1221"/>
        </w:tabs>
        <w:ind w:left="1221" w:hanging="360"/>
      </w:pPr>
    </w:lvl>
    <w:lvl w:ilvl="2">
      <w:start w:val="1"/>
      <w:numFmt w:val="upperRoman"/>
      <w:lvlText w:val="%3."/>
      <w:lvlJc w:val="right"/>
      <w:pPr>
        <w:tabs>
          <w:tab w:val="num" w:pos="1941"/>
        </w:tabs>
        <w:ind w:left="1941" w:hanging="360"/>
      </w:pPr>
    </w:lvl>
    <w:lvl w:ilvl="3">
      <w:start w:val="1"/>
      <w:numFmt w:val="upperRoman"/>
      <w:lvlText w:val="%4."/>
      <w:lvlJc w:val="right"/>
      <w:pPr>
        <w:tabs>
          <w:tab w:val="num" w:pos="2661"/>
        </w:tabs>
        <w:ind w:left="2661" w:hanging="360"/>
      </w:pPr>
    </w:lvl>
    <w:lvl w:ilvl="4">
      <w:start w:val="1"/>
      <w:numFmt w:val="upperRoman"/>
      <w:lvlText w:val="%5."/>
      <w:lvlJc w:val="right"/>
      <w:pPr>
        <w:tabs>
          <w:tab w:val="num" w:pos="3381"/>
        </w:tabs>
        <w:ind w:left="3381" w:hanging="360"/>
      </w:pPr>
    </w:lvl>
    <w:lvl w:ilvl="5">
      <w:start w:val="1"/>
      <w:numFmt w:val="upperRoman"/>
      <w:lvlText w:val="%6."/>
      <w:lvlJc w:val="right"/>
      <w:pPr>
        <w:tabs>
          <w:tab w:val="num" w:pos="4101"/>
        </w:tabs>
        <w:ind w:left="4101" w:hanging="360"/>
      </w:pPr>
    </w:lvl>
    <w:lvl w:ilvl="6">
      <w:start w:val="1"/>
      <w:numFmt w:val="upperRoman"/>
      <w:lvlText w:val="%7."/>
      <w:lvlJc w:val="right"/>
      <w:pPr>
        <w:tabs>
          <w:tab w:val="num" w:pos="4821"/>
        </w:tabs>
        <w:ind w:left="4821" w:hanging="360"/>
      </w:pPr>
    </w:lvl>
    <w:lvl w:ilvl="7">
      <w:start w:val="1"/>
      <w:numFmt w:val="upperRoman"/>
      <w:lvlText w:val="%8."/>
      <w:lvlJc w:val="right"/>
      <w:pPr>
        <w:tabs>
          <w:tab w:val="num" w:pos="5541"/>
        </w:tabs>
        <w:ind w:left="5541" w:hanging="360"/>
      </w:pPr>
    </w:lvl>
    <w:lvl w:ilvl="8">
      <w:start w:val="1"/>
      <w:numFmt w:val="upperRoman"/>
      <w:lvlText w:val="%9."/>
      <w:lvlJc w:val="right"/>
      <w:pPr>
        <w:tabs>
          <w:tab w:val="num" w:pos="6261"/>
        </w:tabs>
        <w:ind w:left="6261" w:hanging="36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10"/>
    <w:uiPriority w:val="9"/>
    <w:qFormat/>
    <w:rsid w:val="00b93e7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20"/>
    <w:uiPriority w:val="9"/>
    <w:unhideWhenUsed/>
    <w:qFormat/>
    <w:rsid w:val="00d3482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Style12" w:customStyle="1">
    <w:name w:val="Верхній колонтитул Знак"/>
    <w:basedOn w:val="DefaultParagraphFont"/>
    <w:link w:val="a7"/>
    <w:uiPriority w:val="99"/>
    <w:qFormat/>
    <w:rsid w:val="00b04272"/>
    <w:rPr/>
  </w:style>
  <w:style w:type="character" w:styleId="Style13" w:customStyle="1">
    <w:name w:val="Нижній колонтитул Знак"/>
    <w:basedOn w:val="DefaultParagraphFont"/>
    <w:link w:val="a9"/>
    <w:uiPriority w:val="99"/>
    <w:qFormat/>
    <w:rsid w:val="00b04272"/>
    <w:rPr/>
  </w:style>
  <w:style w:type="character" w:styleId="Style14" w:customStyle="1">
    <w:name w:val="Текст у виносці Знак"/>
    <w:basedOn w:val="DefaultParagraphFont"/>
    <w:link w:val="ab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3482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b93e7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a8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a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Dell/Desktop/KUL%202%20sem/&#1077;&#1082;&#1086;&#1085;%20&#1079;&#1083;&#1086;&#1095;&#1080;&#1085;/Przest&#281;pstwa_gospodarcze_istota_i_r.pdf" TargetMode="External"/><Relationship Id="rId3" Type="http://schemas.openxmlformats.org/officeDocument/2006/relationships/hyperlink" Target="https://sin.akademia.mil.pl/publications/details/i6159" TargetMode="External"/><Relationship Id="rId4" Type="http://schemas.openxmlformats.org/officeDocument/2006/relationships/hyperlink" Target="../../../../Dell/Downloads/Ubezpieczenia%20spo%20eczne%20nr%202_2018_Kuku%20a%20(1).pdf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<Relationship Id="rId1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35CB97F65640BD1CC9E41C09B43D" ma:contentTypeVersion="5" ma:contentTypeDescription="Utwórz nowy dokument." ma:contentTypeScope="" ma:versionID="2074a6722af98b17114dacbe54df20c4">
  <xsd:schema xmlns:xsd="http://www.w3.org/2001/XMLSchema" xmlns:xs="http://www.w3.org/2001/XMLSchema" xmlns:p="http://schemas.microsoft.com/office/2006/metadata/properties" xmlns:ns2="7c5ed13d-7f1c-47ba-a655-78aa15ac174d" xmlns:ns3="e8fa3dad-ca84-4d8f-aa5a-6b5bf0499b34" targetNamespace="http://schemas.microsoft.com/office/2006/metadata/properties" ma:root="true" ma:fieldsID="56ce7f141c9c97d3f5662974758814c0" ns2:_="" ns3:_="">
    <xsd:import namespace="7c5ed13d-7f1c-47ba-a655-78aa15ac174d"/>
    <xsd:import namespace="e8fa3dad-ca84-4d8f-aa5a-6b5bf0499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ed13d-7f1c-47ba-a655-78aa15ac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a3dad-ca84-4d8f-aa5a-6b5bf049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24C1-F55B-4881-B03A-F5A314F07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7D5E-4328-4D32-A049-F42CB0BE8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ed13d-7f1c-47ba-a655-78aa15ac174d"/>
    <ds:schemaRef ds:uri="e8fa3dad-ca84-4d8f-aa5a-6b5bf049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2A3F7-9B86-42DA-A5A8-986FEF095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413E9-6894-4E1B-8C4B-284B92E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LibreOffice/7.2.6.2$Windows_X86_64 LibreOffice_project/b0ec3a565991f7569a5a7f5d24fed7f52653d754</Application>
  <AppVersion>15.0000</AppVersion>
  <Pages>4</Pages>
  <Words>789</Words>
  <Characters>5710</Characters>
  <CharactersWithSpaces>6453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2024-01-28T13:43:00Z</dcterms:created>
  <dc:creator>Anna Łukasiewicz</dc:creator>
  <dc:description/>
  <dc:language>pl-PL</dc:language>
  <cp:lastModifiedBy/>
  <cp:lastPrinted>2019-01-23T11:10:00Z</cp:lastPrinted>
  <dcterms:modified xsi:type="dcterms:W3CDTF">2024-03-08T13:32:29Z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0x01010029BA35CB97F65640BD1CC9E41C09B43D</vt:lpwstr>
  </property>
</Properties>
</file>