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Diploma seminar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Dr Konrad Słowiński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6+10</w:t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V-VI</w:t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W 1 - </w:t>
            </w:r>
            <w:r>
              <w:rPr>
                <w:rFonts w:eastAsia="Calibri" w:cs=""/>
                <w:color w:val="000000"/>
                <w:sz w:val="22"/>
                <w:szCs w:val="22"/>
                <w:lang w:val="pl-PL" w:eastAsia="en-US" w:bidi="ar-SA"/>
              </w:rPr>
              <w:t>Podstawowa wiedza w zakresie nauk społecznych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/>
                <w:color w:val="000000"/>
                <w:sz w:val="22"/>
                <w:szCs w:val="22"/>
                <w:lang w:val="pl-PL" w:eastAsia="en-US" w:bidi="ar-SA"/>
              </w:rPr>
              <w:t xml:space="preserve">W 2 - </w:t>
            </w:r>
            <w:r>
              <w:rPr>
                <w:rFonts w:eastAsia="Times New Roman" w:cs="Calibri" w:cstheme="minorHAnsi"/>
                <w:color w:val="000000"/>
                <w:sz w:val="22"/>
                <w:szCs w:val="22"/>
                <w:lang w:val="pl-PL" w:eastAsia="pl-PL" w:bidi="ar-SA"/>
              </w:rPr>
              <w:t>Wiedza z zakresu metodologii badań bezpieczeństwa i nauk politycznych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C1 – Zapoznanie z podstawowymi zasadami pisania pracy dyplomowej 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C2 – Przypomnienie podstaw z zakresu polityki bezpieczeństwa, konfliktów oraz negocjacji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C3 – Zaznajomienie z zagadnieniami warsztatu naukowego</w:t>
            </w:r>
          </w:p>
        </w:tc>
      </w:tr>
      <w:tr>
        <w:trPr/>
        <w:tc>
          <w:tcPr>
            <w:tcW w:w="906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>C 4 – P</w:t>
            </w:r>
            <w:r>
              <w:rPr>
                <w:rFonts w:cs="Calibri" w:cstheme="minorHAnsi"/>
              </w:rPr>
              <w:t>rzygotowanie absolwenta do samodzielnego poszukiwania wiedzy teoretycznej i empirycznej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Absolwent zna wiedzę z dziedziny nauk społecznych oraz powiązanych z nią dziedzin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K_W0</w:t>
            </w: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>W_02</w:t>
            </w:r>
          </w:p>
        </w:tc>
        <w:tc>
          <w:tcPr>
            <w:tcW w:w="583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>K_W06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Absolwent rozumie znaczenie praw własności intelektualnej oraz wynikających z tego konsekwencji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K_U01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sz w:val="22"/>
                <w:szCs w:val="22"/>
                <w:lang w:val="pl-PL" w:eastAsia="en-US" w:bidi="ar-SA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sz w:val="22"/>
                <w:szCs w:val="22"/>
                <w:lang w:val="pl-PL" w:eastAsia="en-US" w:bidi="ar-SA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Jest gotów do dokonywania oceny i samooceny wiedzy we wskazanym zakresie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1  Omówienie zasad etycznych i prawnych prowadzenia badań naukowych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2. Wybór tematyki pracy dyplomowej.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 xml:space="preserve">3. Dyskusja nad strukturą pracy i metodami badań.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4. Deskrypcja warsztatu naukowego.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5. Budowa bibliografii.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6. Indywidualna praca studenta.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7. Prezentacja gotowych fragmentów pracy (poszczególnych rozdziałów).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8. K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orekta i redakcja pracy pod kierunkiem promotora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1"/>
        <w:gridCol w:w="2542"/>
      </w:tblGrid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Praca seminaryjna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Zaliczenie przedmiotu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Praca badawcza pod kierunkiem, dyskusja 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>W_03</w:t>
            </w:r>
          </w:p>
        </w:tc>
        <w:tc>
          <w:tcPr>
            <w:tcW w:w="264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Praca badawcza pod kierunkiem, dyskusja 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 xml:space="preserve">Zaliczenie </w:t>
            </w:r>
          </w:p>
        </w:tc>
        <w:tc>
          <w:tcPr>
            <w:tcW w:w="254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trike/>
              </w:rPr>
            </w:pPr>
            <w:r>
              <w:rPr>
                <w:rFonts w:eastAsia="Calibri" w:cs=""/>
                <w:b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1. E. Nowak, M. Nowak, Zarys teorii bezpieczeństwa narodowego, Wars</w:t>
            </w:r>
            <w:r>
              <w:rPr>
                <w:rFonts w:eastAsia="Calibri" w:cs=""/>
                <w:color w:val="000000"/>
                <w:sz w:val="22"/>
                <w:szCs w:val="22"/>
                <w:lang w:val="pl-PL" w:eastAsia="en-US" w:bidi="ar-SA"/>
              </w:rPr>
              <w:t xml:space="preserve">zawa 2011. </w:t>
              <w:br/>
              <w:t xml:space="preserve">2. </w:t>
            </w:r>
            <w:r>
              <w:rPr>
                <w:rFonts w:eastAsia="Calibri" w:cs="Calibri" w:cstheme="minorHAnsi"/>
                <w:color w:val="000000"/>
                <w:sz w:val="22"/>
                <w:szCs w:val="22"/>
                <w:lang w:val="pl-PL" w:eastAsia="en-US" w:bidi="ar-SA"/>
              </w:rPr>
              <w:t>J. Buttolph Johnson, H.T. Reynolds, J.D. Mycoff, Metody badawcze w naukach politycznych, Warszawa 2010.</w:t>
            </w:r>
            <w:r>
              <w:rPr>
                <w:rFonts w:eastAsia="Calibri" w:cs=""/>
                <w:color w:val="000000"/>
                <w:sz w:val="22"/>
                <w:szCs w:val="22"/>
                <w:lang w:val="pl-PL" w:eastAsia="en-US" w:bidi="ar-SA"/>
              </w:rPr>
              <w:br/>
              <w:t xml:space="preserve">3. </w:t>
            </w:r>
            <w:r>
              <w:rPr>
                <w:rFonts w:eastAsia="Calibri" w:cs="Calibri" w:cstheme="minorHAnsi"/>
                <w:color w:val="000000"/>
                <w:sz w:val="22"/>
                <w:szCs w:val="22"/>
                <w:lang w:val="pl-PL" w:eastAsia="en-US" w:bidi="ar-SA"/>
              </w:rPr>
              <w:t>R. Korzeniowski, Wstęp do metody badań bezpieczeństwa narodowego, Olsztyn 2013</w:t>
            </w:r>
            <w:r>
              <w:rPr>
                <w:rFonts w:eastAsia="Calibri" w:cs=""/>
                <w:color w:val="000000"/>
                <w:sz w:val="22"/>
                <w:szCs w:val="22"/>
                <w:lang w:val="pl-PL" w:eastAsia="en-US" w:bidi="ar-SA"/>
              </w:rPr>
              <w:br/>
              <w:t>4. Słownik terminów z zakresu bezpieczeństwa narodowego, Warszawa 200</w:t>
            </w: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8.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</w:rPr>
              <w:t>1. Z.J. Pietraś, Decydowanie polityczne, Warszawa 2011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2. Teorie i metody w naukach politycznych, red. D. Marsh, G. Stoker, Kraków 2006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>3. Bezpieczeństwo Polski. Historia i współczesność, red. L. Antonowicz, T. Guz, M. R. Pałubska, Lublin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val="pl-PL" w:eastAsia="en-US" w:bidi="ar-SA"/>
              </w:rPr>
              <w:t xml:space="preserve">4. Bezpieczeństwo narodowe i zarządzanie kryzysowe w Polsce w XXI wieku – Wyzwania i dylematy, Warszawa 2008. 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042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3793-2BBA-445F-A8ED-D99E303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LibreOffice/5.0.3.2$Windows_x86 LibreOffice_project/e5f16313668ac592c1bfb310f4390624e3dbfb75</Application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2022-01-03T12:55:00Z</dcterms:created>
  <dc:creator>Anna Łukasiewicz</dc:creator>
  <dc:language>pl-PL</dc:language>
  <cp:lastPrinted>2019-01-23T11:10:00Z</cp:lastPrinted>
  <dcterms:modified xsi:type="dcterms:W3CDTF">2023-11-20T11:44:34Z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