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2"/>
              <w:rPr>
                <w:rFonts w:ascii="Calibri" w:hAnsi="Calibr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>Zarządzanie ryzykiem personalnym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Human resources risk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management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Nauki o zarządzaniu i jakości 50%, nauki o polityce i administracji 50%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Koordynator przedmiotu/osoba odpowiedzialna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Dr hab. Kinga Machowicz,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zajęć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III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4"/>
        <w:gridCol w:w="6847"/>
      </w:tblGrid>
      <w:tr>
        <w:trPr/>
        <w:tc>
          <w:tcPr>
            <w:tcW w:w="2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Wymagania wstępne</w:t>
            </w:r>
          </w:p>
        </w:tc>
        <w:tc>
          <w:tcPr>
            <w:tcW w:w="68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brak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Zbudowanie świadomości ryzyka w zakresie zarządzania zespołem ludzi.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Wykształcenie umiejętności diagnozy sytuacji w zakresie zarządzania zespołem ludzi.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Wykształcenie umiejętności poszukiwania rozwiązań problemów w zakresie zarządzania zespołem ludzi.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2"/>
        <w:gridCol w:w="2136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Opis efektu przedmiotowego</w:t>
            </w:r>
          </w:p>
        </w:tc>
        <w:tc>
          <w:tcPr>
            <w:tcW w:w="21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WIEDZA</w:t>
            </w:r>
            <w:r>
              <w:rPr>
                <w:rFonts w:eastAsia="" w:cs="Arial" w:ascii="Arial" w:hAnsi="Arial"/>
                <w:bCs/>
                <w:kern w:val="0"/>
                <w:sz w:val="20"/>
                <w:szCs w:val="20"/>
                <w:lang w:val="pl-PL" w:eastAsia="pl-PL" w:bidi="ar-SA"/>
              </w:rPr>
              <w:t xml:space="preserve"> absolwent zna i rozumie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interdyscyplinarny charakter wiedzy z dziedziny nauk społecznych;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kontekst zjawisk i procesów społecznych, przyczyn i skutków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P7U_W1 P7S_WG1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K_W05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uwarunkowania bezpieczeństwa globalnego, systemów bezpieczeństwa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państwa, a także bezpieczeństwa międzynarodowego, w tym instytucji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międzynarodowych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P7U_W2 P7S_WK1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P7S_WK2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P7S_WK3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UMIEJĘTNOŚCI absolwent potrafi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wykorzystywać zdobytą wiedzę teoretyczną do analizowania, diagnozowania, wyjaśniania oraz prognozowania kwestii szczegółowych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odnoszących się do bezpieczeństwa społecznego, państwowego i międzynarodowego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rozwiązywać konkretne problemy związane z bezpieczeństwem, prognozować działania oraz przewidywać skutki tych że działań,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wykorzystując przy tym nabytą wiedzę teoretyczną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P6U_U1 P6S_UW1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KOMPETENCJE SPOŁECZNE absolwent jest gotów do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K_K02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myślenia oraz działania w sposób przedsiębiorczy i prospołeczny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P6U_K2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P6S_K01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P6S_K02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P6S_K03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bCs/>
                <w:kern w:val="0"/>
                <w:sz w:val="22"/>
                <w:szCs w:val="22"/>
                <w:lang w:val="pl-PL" w:eastAsia="pl-PL" w:bidi="ar-SA"/>
              </w:rPr>
              <w:t xml:space="preserve">Relacje pojęć: </w:t>
            </w: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ryzyko personalne, ryzyko osobowe, ryzyko zawodowe, zarządzanie ryzykiem personalnym.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Czynniki ryzyka personalnego.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Czynniki ryzyka osobowego.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Czynniki ryzyka zawodowego.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bCs/>
                <w:kern w:val="0"/>
                <w:sz w:val="22"/>
                <w:szCs w:val="22"/>
                <w:lang w:val="pl-PL" w:eastAsia="pl-PL" w:bidi="ar-SA"/>
              </w:rPr>
              <w:t xml:space="preserve">Sprawne zarządzanie </w:t>
            </w:r>
            <w:r>
              <w:rPr>
                <w:rFonts w:eastAsia="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ryzykiem personalnym.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</w:rPr>
            </w:pPr>
            <w:r>
              <w:rPr>
                <w:rFonts w:eastAsia="" w:cs="Calibri" w:cstheme="minorHAnsi"/>
                <w:bCs/>
                <w:kern w:val="0"/>
                <w:sz w:val="22"/>
                <w:szCs w:val="22"/>
                <w:lang w:val="pl-PL" w:eastAsia="pl-PL" w:bidi="ar-SA"/>
              </w:rPr>
              <w:t>Zbiorcza analiza wyników prac etapowych. Ocena przekazywana indywidualnie do wiadomości studenta.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8"/>
        <w:gridCol w:w="2535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  <w:tc>
          <w:tcPr>
            <w:tcW w:w="27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18"/>
                <w:szCs w:val="18"/>
                <w:lang w:val="pl-PL" w:eastAsia="pl-PL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K_W05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Dyskusja przygotowująca do zaprojektowania rozwiązań problemów często występujących w praktyce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K_K02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Design thinking – praca nad prototypowymi rozwiązaniami</w:t>
            </w:r>
          </w:p>
        </w:tc>
        <w:tc>
          <w:tcPr>
            <w:tcW w:w="2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Zaliczenie pisemne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Wypełniony protokół zaliczeniowy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Zaliczenie pisemne w formie udzielania odpowiedzi na postawione pytania.</w:t>
      </w:r>
    </w:p>
    <w:p>
      <w:pPr>
        <w:pStyle w:val="Normal"/>
        <w:rPr>
          <w:b/>
          <w:b/>
        </w:rPr>
      </w:pPr>
      <w:r>
        <w:rPr/>
        <w:t xml:space="preserve">Ocena ndst: student nie rozumie ryzyka w zakresie zarządzania zespołem ludzi. </w:t>
        <w:br/>
        <w:t>Ocena dst: student ma świadomość ryzyka w zakresie zarządzania zespołem ludzi, ale słabo wykształcił umiejętność diagnozy sytuacji w zakresie zarządzania zespołem ludzi i słabo wykształcił umiejętność poszukiwania rozwiązań problemów w zakresie zarządzania zespołem ludzi.</w:t>
        <w:br/>
        <w:t>Ocena db: student ma świadomość ryzyka w zakresie zarządzania zespołem ludzi i prawidłowo wykształcił umiejętność diagnozy sytuacji w zakresie zarządzania zespołem ludzi oraz prawidłowo wykształcił umiejętność poszukiwania rozwiązań problemów w zakresie zarządzania zespołem ludzi.</w:t>
        <w:br/>
        <w:t>Ocena bdb: student ma świadomość ryzyka w zakresie zarządzania zespołem ludzi i bardzo dobrze wykształcił umiejętność diagnozy sytuacji w zakresie zarządzania zespołem ludzi oraz bardzo dobrze wykształcił umiejętność poszukiwania rozwiązań problemów w zakresie zarządzania zespołem ludzi.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Bombiak E., Ryzyko personalne w organizacji – szansa czy zagrożenie?, „Przedsiębiorczość i Zarządzanie”, nr 8(1)/2018, s. 43-54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Markedcontent"/>
                <w:rFonts w:cs="Calibri" w:cstheme="minorHAnsi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Czerska M., Rutka R., Metoda oceny ryzyka personalnego w organizacji, „Studia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Ekonomiczne Uniwersytetu Ekonomicznego w Katowicach”, nr 280/2016, s. 21-33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pl-PL" w:eastAsia="pl-PL" w:bidi="ar-SA"/>
              </w:rPr>
              <w:t>Pawelec G., Wybrane aspekty zarządzania ryzykiem personalnym w organizacji, Academy of Management – 2(4)/2018, s. 118-131.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lang w:val="en-GB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en-GB" w:eastAsia="pl-PL" w:bidi="ar-SA"/>
              </w:rPr>
              <w:t xml:space="preserve">Bombiak E., </w:t>
            </w:r>
            <w:r>
              <w:rPr>
                <w:rStyle w:val="V1size"/>
                <w:rFonts w:eastAsia="" w:cs="Calibri" w:cstheme="minorHAnsi"/>
                <w:i/>
                <w:iCs/>
                <w:kern w:val="0"/>
                <w:sz w:val="22"/>
                <w:szCs w:val="22"/>
                <w:shd w:fill="FFFFFF" w:val="clear"/>
                <w:lang w:val="en-GB" w:eastAsia="pl-PL" w:bidi="ar-SA"/>
              </w:rPr>
              <w:t>Assessment of scope of implementation of the human resources risk management</w:t>
            </w:r>
            <w:r>
              <w:rPr>
                <w:rStyle w:val="V1size"/>
                <w:rFonts w:eastAsia="" w:cs="Calibri" w:cstheme="minorHAnsi"/>
                <w:kern w:val="0"/>
                <w:sz w:val="22"/>
                <w:szCs w:val="22"/>
                <w:shd w:fill="FFFFFF" w:val="clear"/>
                <w:lang w:val="en-GB" w:eastAsia="pl-PL" w:bidi="ar-SA"/>
              </w:rPr>
              <w:t xml:space="preserve">, „Zeszyty Naukowe Politechniki Śląskiej. Seria: Organizacja i Zarządzanie”, 2018, nr 128, s. 35-48,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lang w:val="en-GB"/>
              </w:rPr>
            </w:pPr>
            <w:r>
              <w:rPr>
                <w:rStyle w:val="Markedcontent"/>
                <w:rFonts w:eastAsia="" w:cs="Calibri" w:cstheme="minorHAnsi"/>
                <w:kern w:val="0"/>
                <w:sz w:val="22"/>
                <w:szCs w:val="22"/>
                <w:lang w:val="en-GB" w:eastAsia="pl-PL" w:bidi="ar-SA"/>
              </w:rPr>
              <w:t xml:space="preserve">Bombiak E., </w:t>
            </w:r>
            <w:r>
              <w:rPr>
                <w:rStyle w:val="V1size"/>
                <w:rFonts w:eastAsia="" w:cs="Calibri" w:cstheme="minorHAnsi"/>
                <w:kern w:val="0"/>
                <w:sz w:val="22"/>
                <w:szCs w:val="22"/>
                <w:shd w:fill="FFFFFF" w:val="clear"/>
                <w:lang w:val="en-GB" w:eastAsia="pl-PL" w:bidi="ar-SA"/>
              </w:rPr>
              <w:t xml:space="preserve">Manager competencies in the area of human resources risk management, „International Journal of Contemporary Management” 2018, Vol. 17, no 3, s. 29-49, </w:t>
            </w:r>
            <w:r>
              <w:rPr>
                <w:rFonts w:eastAsia="" w:cs="Calibri" w:cstheme="minorHAnsi"/>
                <w:kern w:val="0"/>
                <w:sz w:val="22"/>
                <w:szCs w:val="22"/>
                <w:lang w:val="en-GB" w:eastAsia="pl-PL" w:bidi="ar-SA"/>
              </w:rPr>
              <w:t>doi:10.4467/24498939IJCM.18.024.9620</w:t>
            </w:r>
          </w:p>
        </w:tc>
      </w:tr>
    </w:tbl>
    <w:p>
      <w:pPr>
        <w:pStyle w:val="Normal"/>
        <w:spacing w:before="0" w:after="0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spacing w:before="0" w:after="200"/>
        <w:rPr>
          <w:lang w:val="en-GB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7d47a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4e05b3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7d47a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V1size" w:customStyle="1">
    <w:name w:val="v1size"/>
    <w:basedOn w:val="DefaultParagraphFont"/>
    <w:qFormat/>
    <w:rsid w:val="0043239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6AF7-489A-4019-82B4-541D935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LibreOffice/7.2.6.2$Windows_X86_64 LibreOffice_project/b0ec3a565991f7569a5a7f5d24fed7f52653d754</Application>
  <AppVersion>15.0000</AppVersion>
  <Pages>4</Pages>
  <Words>650</Words>
  <Characters>4765</Characters>
  <CharactersWithSpaces>5299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2023-09-22T12:36:00Z</dcterms:created>
  <dc:creator>Anna Łukasiewicz</dc:creator>
  <dc:description/>
  <dc:language>pl-PL</dc:language>
  <cp:lastModifiedBy/>
  <cp:lastPrinted>2019-01-23T11:10:00Z</cp:lastPrinted>
  <dcterms:modified xsi:type="dcterms:W3CDTF">2023-12-08T12:18:21Z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