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before="0" w:after="120"/>
        <w:rPr/>
      </w:pPr>
      <w:r>
        <w:rPr/>
        <w:t>Cykl kształcenia od roku akademickiego: 2023/24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Biblia - istota i rola w kulturze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Bible - its nature and role in culture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Bezpieczeństwo narodowe, Stosunki międzynarodowe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biblijne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3"/>
        <w:gridCol w:w="4528"/>
      </w:tblGrid>
      <w:tr>
        <w:trPr/>
        <w:tc>
          <w:tcPr>
            <w:tcW w:w="4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</w:t>
            </w:r>
          </w:p>
        </w:tc>
        <w:tc>
          <w:tcPr>
            <w:tcW w:w="4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ks. dr Krzysztof Kinowski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Centralniewrubryce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Podstawowe wiadomości o Biblii, środowisku powstania Starego i Nowego Testamentu, podziale ksiąg biblijnych oraz ich natchnionym charakterze. Ogólna znajomość najważniejszych postaci biblijnych oraz tematów dominujących w Starym i Nowym Testamencie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C1 - Zapoznanie studenta z procesem i środowiskiem powstania Biblii, językami biblijnymi oraz kanonem ksiąg biblijnych.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C2 - Bliższe zaznajomienie studenta z wielkimi toposami biblijnymi i tekstami, które są ich nośnikami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C3 - Umieszczenie tekstów biblijnych w kontekście kultury starożytnej oraz ukazanie ich roli w kulturze i sztuce kultury współczesnej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C4 - Ukazanie Biblii jako wciąż aktualnej odpowiedzi na wielkie pytania egzystencjalne i poszukiwania współczesnego człowieka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5832"/>
        <w:gridCol w:w="2138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zna najważniejsze tematy Starego i Nowego Testamentu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zna teksty starożytne stanowiące tło i paralelę do tekstów biblijnych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zna dzieła kultury i sztuki Zachodniej, w których pojawiają się odniesienia do analizowanych toposów biblijnych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analizować teksty biblijne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wskazać na różnice i podobieństwa pomiędzy obrazem Boga, godności człowieka oraz ujęciem wielkich tematów egzystencjalnych w Biblii i innych tekstach starożytnych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wskazać i zinterpretować inspiracje biblijne w dziełach kultury zachodniej i odpowiedzieć na zagadnienia stawiane przed Biblią przez współczesną kulturę i naukę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docenia i dostrzega dziedzictwo kulturowe wniesione przez Biblię w kulturę i prawodawstwo Zachodu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otwiera się na dialog i poszanowanie dziedzictwa kulturowego chrześcijaństwa oraz innych religii i cywilizacji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K_03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wyrabia w sobie postawę krytyczną, uczy się stawiać pytania i szukać odpowiedzi dotyczących wielkich kwestii egzystencjalnych (Bóg, sens wszechświata, oraz godność osoby ludzkiej)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Biblia jest świętą księgą zarówno dla judaizmu, jak i chrześcijaństwa, a pewne elementy kultury biblijnej można bez trudu odnaleźć także w islamie. Chociaż jest ona dziełem spisanym w odległej przeszłości, ze względu na swój wpływ jawi się jako zjawisko kulturowe o wyjątkowym znaczeniu.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Studiowanie Biblii otwiera drogę do rozległego świata kultury, zarówno starożytnej, jak i współczesnej.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Główne treści programowe przedmiotu: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uppressAutoHyphens w:val="true"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l-PL" w:bidi="ar-SA"/>
              </w:rPr>
              <w:t>Polskie przekłady Pisma świętego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uppressAutoHyphens w:val="true"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l-PL" w:bidi="ar-SA"/>
              </w:rPr>
              <w:t>Wprowadzenie w Stary Testament i Pięcioksiąg (środowisko, czas powstania, język, autorzy).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uppressAutoHyphens w:val="true"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l-PL" w:bidi="ar-SA"/>
              </w:rPr>
              <w:t>Kanon Biblijny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uppressAutoHyphens w:val="true"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l-PL" w:bidi="ar-SA"/>
              </w:rPr>
              <w:t>Natchnienie biblijne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uppressAutoHyphens w:val="true"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l-PL" w:bidi="ar-SA"/>
              </w:rPr>
              <w:t>Tekst Pisma świętego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uppressAutoHyphens w:val="true"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l-PL" w:bidi="ar-SA"/>
              </w:rPr>
              <w:t>Stworzenie świata i człowieka (Rdz 1 – 2).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uppressAutoHyphens w:val="true"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l-PL" w:bidi="ar-SA"/>
              </w:rPr>
              <w:t>Upadek człowieka i grzech pierworodny (Rdz 3). Natchnienie i nieomylność tekstów biblijnych oraz pytania, jakie stawia przed nimi nauka.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uppressAutoHyphens w:val="true"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l-PL" w:bidi="ar-SA"/>
              </w:rPr>
              <w:t>Potop (Rdz 6 – 9) Kompozycja Pisma świętego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uppressAutoHyphens w:val="true"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l-PL" w:bidi="ar-SA"/>
              </w:rPr>
              <w:t>Wieża Babel (Rdz 11) Aktualizacja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uppressAutoHyphens w:val="true"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l-PL" w:bidi="ar-SA"/>
              </w:rPr>
              <w:t>Historyczność patriarchów. Historia Abrahama (Rdz 12 – 24)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uppressAutoHyphens w:val="true"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l-PL" w:bidi="ar-SA"/>
              </w:rPr>
              <w:t>Exodus i jego tło historyczne (Wyjście z Egiptu, Przymierze, Dekalog, postać Mojżesza)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uppressAutoHyphens w:val="true"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l-PL" w:bidi="ar-SA"/>
              </w:rPr>
              <w:t xml:space="preserve">Wprowadzenie w Księgi Historyczne Starego Testamentu. Historia królów 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uppressAutoHyphens w:val="true"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l-PL" w:bidi="ar-SA"/>
              </w:rPr>
              <w:t>Prorocy. Historia spisywania ksiąg biblijnych i formowania się kanonu Starego Testamentu.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uppressAutoHyphens w:val="true"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l-PL" w:bidi="ar-SA"/>
              </w:rPr>
              <w:t>Hiob i problem cierpienia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uppressAutoHyphens w:val="true"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l-PL" w:bidi="ar-SA"/>
              </w:rPr>
              <w:t>Wprowadzenie do Nowego Testamentu (środowisko powstania, podział ksiąg, autorzy). Ewangelia dzieciństwa (Łk 1 – 2 ; Mt 1 – 2). Historyczność tekstów Nowego Testamentu. Motyw Zwiastowania Pańskiego w sztuce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uppressAutoHyphens w:val="true"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l-PL" w:bidi="ar-SA"/>
              </w:rPr>
              <w:t>Męka i Zmartwychwstanie Jezusa: Biblia a odkrycia archeologiczne.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uppressAutoHyphens w:val="true"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2"/>
                <w:szCs w:val="22"/>
                <w:lang w:val="pl-PL" w:bidi="ar-SA"/>
              </w:rPr>
              <w:t>Apostoł Paweł. Jego listy, życie i myśl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57"/>
        <w:gridCol w:w="2773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tradycyjny oraz konwersatoryjny z prezentacją multimedialną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karta egzaminacyjna</w:t>
            </w:r>
          </w:p>
        </w:tc>
      </w:tr>
      <w:tr>
        <w:trPr>
          <w:trHeight w:val="443" w:hRule="atLeast"/>
        </w:trPr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tradycyjny oraz konwersatoryjny z prezentacją multimedialną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karta egzaminacyjna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tradycyjny oraz konwersatoryjny z prezentacją multimedialną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karta egzaminacyjna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analiza tekstu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obserwacja, sprawdzenie umiejętności praktycznych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raport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praca w grupie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obserwacja, sprawdzenie umiejętności praktycznych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raport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praca w grupie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obserwacja, sprawdzenie umiejętności praktycznych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raport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praca w grupie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obserwacja, sprawdzenie kompetencji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raport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praca w grupie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obserwacja, sprawdzenie kompetencji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raport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praca w grupie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obserwacja, sprawdzenie kompetencji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raport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b/>
          <w:b/>
        </w:rPr>
      </w:pPr>
      <w:r>
        <w:rPr>
          <w:sz w:val="24"/>
          <w:szCs w:val="24"/>
        </w:rPr>
        <w:t>Formą egzaminu jest test końcowy. Na ostateczną ocenę mają również wpływ obecności na zajęciach, a także udział i aktywność w dyskusjach. Student może uzyskać w ten sposób dodatkowe punkty na egzaminie.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1) Paciorek Antonii, Wstęp ogólny do Pisma świętego, Tarnów 1994.</w:t>
              <w:br/>
              <w:t>2) Kudasiewicz Józef, Biblia, historia, nauka: rozważania i dyskusje biblijne, Kraków 1986.</w:t>
              <w:br/>
              <w:t>3) Szlaga J. (red.), Wstęp ogólny do Pisma Świętego (Wstęp do Pisma Świętego 1), Poznań – Warszawa: Pallottinum 1986</w:t>
              <w:br/>
              <w:t>4) Starowiejski Marek, Tradycje biblijne. Biblia w kulturze europejskiej (Petrus 2011)</w:t>
              <w:br/>
              <w:t>5) T. Jelonek, Biblia jako fenomen kulturowy (Petrus 2012)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1) Roncace M. – Gray P. (eds.), Teaching the Bible through Popular Culture and the Arts (SBL Atlanta 2007).</w:t>
              <w:br/>
              <w:t>2) Sawyer J.F.A., The Blackwell Companion to the Bible and Culture (Blackwell 2006).</w:t>
              <w:br/>
              <w:t>3) Brown R.E., An Introduction to the New Testament (Doubleday 1997).</w:t>
              <w:br/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4) Świderkówna A., Rozmowy o Biblii (PWN 1999).</w:t>
              <w:br/>
              <w:t>5) Świderkówna A., Biblia a człowiek współczesny (Znak 2000).</w:t>
              <w:br/>
              <w:t>6) Kodell J., Klucz do Pisma Świętego (WAM 2003).</w:t>
              <w:br/>
              <w:t>7) Lapple A., Od Księgi Rodzaju do Ewangelii (Znak 1983).</w:t>
              <w:br/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8) Barton J. (red.), The Biblical World. I-II (Routledge 2002).</w:t>
              <w:br/>
              <w:t xml:space="preserve">9) Huber R.V., Miller S.M., Historia Biblii.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Dzieje powstania i odczytywania Pisma Świętego (Vocatio 2005).</w:t>
              <w:br/>
              <w:t xml:space="preserve">10) Szlaga J. (red.), Wstęp ogólny do Pisma Świętego (Wstęp do Pisma Świętego 1), Poznań – Warszawa: Pallottinum 1986 (wznowione i poprawione wyd. 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Wstępu pod red. J. Homerskiego z 1973).</w:t>
              <w:br/>
              <w:t>11) Dawes G.W., Introduction to the Bible (Liturgical Press 2007).</w:t>
            </w:r>
          </w:p>
        </w:tc>
      </w:tr>
    </w:tbl>
    <w:p>
      <w:pPr>
        <w:pStyle w:val="Normal"/>
        <w:spacing w:before="0" w:after="0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before="0" w:after="200"/>
        <w:rPr>
          <w:lang w:val="en-US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entralniewrubryce" w:customStyle="1">
    <w:name w:val="centralnie w rubryce"/>
    <w:basedOn w:val="Normal"/>
    <w:qFormat/>
    <w:rsid w:val="00ce510e"/>
    <w:pPr>
      <w:tabs>
        <w:tab w:val="clear" w:pos="708"/>
        <w:tab w:val="left" w:pos="-5814" w:leader="none"/>
      </w:tabs>
      <w:overflowPunct w:val="true"/>
      <w:spacing w:lineRule="auto" w:line="240" w:before="40" w:after="40"/>
      <w:jc w:val="center"/>
      <w:textAlignment w:val="baseline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LibreOffice/7.2.6.2$Windows_X86_64 LibreOffice_project/b0ec3a565991f7569a5a7f5d24fed7f52653d754</Application>
  <AppVersion>15.0000</AppVersion>
  <Pages>5</Pages>
  <Words>981</Words>
  <Characters>6270</Characters>
  <CharactersWithSpaces>7084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2023-11-27T21:51:00Z</dcterms:created>
  <dc:creator>Anna Łukasiewicz</dc:creator>
  <dc:description/>
  <dc:language>pl-PL</dc:language>
  <cp:lastModifiedBy/>
  <cp:lastPrinted>2019-01-23T11:10:00Z</cp:lastPrinted>
  <dcterms:modified xsi:type="dcterms:W3CDTF">2023-12-08T13:03:11Z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