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Bezpieczeństwo regionalne na przykładzie Grupy Wyszehradzkiej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Regional security on the example of the Visegrad Group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W1-zainteresowanie przedmiotem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C1 -Zapoznanie studentów z problematyką bezpieczeństwa regionalnego oraz strukturą, funkcjonowaniem i ewolucją jego instytucji.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C2 -Wykształcenie przez studentów umiejętności krytycznego analizowania działalności instytucji bezpieczeństwa międzynarodowego, regionalnego. </w:t>
            </w:r>
          </w:p>
        </w:tc>
      </w:tr>
    </w:tbl>
    <w:p>
      <w:pPr>
        <w:pStyle w:val="Normal"/>
        <w:rPr>
          <w:b/>
          <w:b/>
        </w:rPr>
      </w:pPr>
      <w:r>
        <w:br w:type="page"/>
      </w:r>
      <w:r>
        <w:rPr/>
        <w:t xml:space="preserve">III.            </w:t>
      </w: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3"/>
        <w:gridCol w:w="2136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zna i rozumie interdyscyplinarny charakter wiedzy z dziedziny nauk społecznych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Absolwent zna i rozumie w sposób pogłębiony uwarunkowania bezpieczeństwa państwa zarówno w skali lokalnej (ogólnopaństwowej), jak i międzynarodowej.</w:t>
              <w:br/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zna i rozumie uwarunkowania bezpieczeństwa globalnego, systemów bezpieczeństwa państwa, a także bezpieczeństwa wewnętrznego i zewnętrznego UE. 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potrafi wykorzystywać posiadaną wiedzę teoretyczną do analizowania, diagnozowania, wyjaśniania oraz prognozowania kwestii szczegółowych odnoszących się do bezpieczeństwa narodowego. 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Absolwent potrafi wykorzystywać pogłębioną wiedzę teoretyczną w rozwiązywaniu problemów związanych z bezpieczeństwem narodowym.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jest gotów do dokonywania oceny i samooceny wiedzy oraz umiejętności we wskazanym zakresie. 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360" w:before="0" w:after="160"/>
              <w:ind w:left="0" w:hanging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1. Europa Środkowa, Europa Środkowo-Wschodnia, Europa Środkowa i Wschodnia - region w ujęciu historycznym, kulturowym i przestrzennym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360" w:before="0" w:after="160"/>
              <w:ind w:left="0" w:hanging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2. Region Morza Bałtyckiego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360" w:before="0" w:after="160"/>
              <w:ind w:left="0" w:hanging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3. Państwa Grupy Wyszehradzkiej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360" w:before="0" w:after="160"/>
              <w:ind w:left="0" w:hanging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4. „Wyszehrad +”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360" w:before="0" w:after="160"/>
              <w:ind w:left="0" w:hanging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5. Współpraca w regionie Europy Środkowej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360" w:before="0" w:after="160"/>
              <w:ind w:left="0" w:hanging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6. Państwa Grupy Wyszehradzkiej wobec wyzwań i zagrożeń XXI wieku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2691"/>
        <w:gridCol w:w="2789"/>
        <w:gridCol w:w="2499"/>
      </w:tblGrid>
      <w:tr>
        <w:trPr/>
        <w:tc>
          <w:tcPr>
            <w:tcW w:w="10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 prezentacja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Zaliczenie/prezentacja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 prezentacja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Zaliczenie/prezentacja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Zaliczenie/prezentacja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/prezentacja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Normal"/>
        <w:rPr/>
      </w:pPr>
      <w:r>
        <w:rPr/>
        <w:t>Ocena w oparciu o aktywność na zajęciach, frekwencję i przygotowanie prezentacji multimedialnej oraz uczestnictwo w konferencjach naukowych.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Web"/>
              <w:widowControl/>
              <w:spacing w:lineRule="auto" w:line="360" w:before="0" w:after="0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bCs/>
                <w:kern w:val="0"/>
                <w:shd w:fill="FFFFFF" w:val="clear"/>
                <w:lang w:val="pl-PL" w:eastAsia="pl-PL" w:bidi="ar-SA"/>
              </w:rPr>
              <w:t xml:space="preserve">Bąk-Pitucha A., </w:t>
            </w:r>
            <w:r>
              <w:rPr>
                <w:rFonts w:eastAsia="Times New Roman"/>
                <w:bCs/>
                <w:i/>
                <w:kern w:val="0"/>
                <w:shd w:fill="FFFFFF" w:val="clear"/>
                <w:lang w:val="pl-PL" w:eastAsia="pl-PL" w:bidi="ar-SA"/>
              </w:rPr>
              <w:t>Grupa Wyszehradzka (V4) wobec kryzysu migracyjnego w Europie</w:t>
            </w:r>
            <w:r>
              <w:rPr>
                <w:rFonts w:eastAsia="Times New Roman"/>
                <w:bCs/>
                <w:kern w:val="0"/>
                <w:shd w:fill="FFFFFF" w:val="clear"/>
                <w:lang w:val="pl-PL" w:eastAsia="pl-PL" w:bidi="ar-SA"/>
              </w:rPr>
              <w:t>, „Studia Politologiczne”, vol. 68/2023.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Gibas-Krzak D.,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pl-PL" w:eastAsia="pl-PL" w:bidi="ar-SA"/>
              </w:rPr>
              <w:t>Zagrożenia dla bezpieczeństwa społecznego w Bośni i Hercegowinie. Uwarunkowania – diagnoza – prognozy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, „Bezpieczeństwo. Teoria i praktyka” 2018, nr 1.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Kużelewska E., Bartnicki A. R.,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pl-PL" w:eastAsia="pl-PL" w:bidi="ar-SA"/>
              </w:rPr>
              <w:t>Grupa Wyszehradzka – nowe wyzwania bezpieczeństwa i perspektywy współpracy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, „Rocznik Integracji Europejskiej” 2017, nr 11.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Olech A.,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pl-PL" w:eastAsia="pl-PL" w:bidi="ar-SA"/>
              </w:rPr>
              <w:t>Terroryzm na Półwyspie Bałkańskim, a zagrożenia dla bezpieczeństwa państw Trójmorza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, „Myśl Suwerenna – Przegląd Spraw Publicznych”, Białystok 2020.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Pietraś M.,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pl-PL" w:eastAsia="pl-PL" w:bidi="ar-SA"/>
              </w:rPr>
              <w:t>Podziały przestrzeni Europy Środkowo-Wschodniej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, „Rocznik Instytutu Europy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Środkowo-Wschodniej” 17 (2019), z. 1.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Turczyński P.,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Bezpieczeństwo europejskie. Systemy, instytucje, funkcjonowanie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Wrocław 2011.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Wach A.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pl-PL" w:eastAsia="pl-PL" w:bidi="ar-SA"/>
              </w:rPr>
              <w:t>, Znaczenie oraz rola Grupy Wyszehradzkiej w latach 1991-2007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, „Słupskie Studia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Historyczne” 2010, T. 16.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br/>
              <w:t>Haliżak E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>., Regionalizm w stosunkach międzynarodowych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, [w:]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>Stosunki międzynarodowe. Geneza, struktura, dynamika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, red. E. Haliżak i R. Kuźniar, Warszawa: Wydawnictwo Uniwersytetu Warszawskiego 2006.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Czyż A., </w:t>
            </w:r>
            <w:r>
              <w:rPr>
                <w:rFonts w:eastAsia="Calibri" w:cs="Times New Roman" w:ascii="Times New Roman" w:hAnsi="Times New Roman"/>
                <w:i/>
                <w:color w:val="000000"/>
                <w:kern w:val="0"/>
                <w:sz w:val="24"/>
                <w:szCs w:val="24"/>
                <w:lang w:val="pl-PL" w:eastAsia="en-US" w:bidi="ar-SA"/>
              </w:rPr>
              <w:t>Państwa Grupy Wyszehradzkiej wobec kryzysu migracyjnego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, „Studia Politicae Universitatis Silesiensis” 2017, T. 18.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pl-PL" w:eastAsia="pl-PL" w:bidi="ar-SA"/>
              </w:rPr>
              <w:t>Globalizacja. Szanse i zagrożenia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, pod red. A. Sadowskiego, Białystok: Wydawnictwo Uniwersytetu w Białymstoku 2011.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48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486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56bd8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d48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LibreOffice/7.2.6.2$Windows_X86_64 LibreOffice_project/b0ec3a565991f7569a5a7f5d24fed7f52653d754</Application>
  <AppVersion>15.0000</AppVersion>
  <Pages>4</Pages>
  <Words>589</Words>
  <Characters>4366</Characters>
  <CharactersWithSpaces>4938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2024-01-14T16:31:00Z</dcterms:created>
  <dc:creator>Artur Kukuła</dc:creator>
  <dc:description/>
  <dc:language>pl-PL</dc:language>
  <cp:lastModifiedBy/>
  <dcterms:modified xsi:type="dcterms:W3CDTF">2024-03-07T10:48:34Z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