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Nazwa przedmiotu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kern w:val="0"/>
                <w:sz w:val="22"/>
              </w:rPr>
              <w:t>Logistyka sytuacji kryzysowych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Nazwa przedmiotu w języku angielskim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8F9FA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eastAsia="Times New Roman" w:cs="Courier New"/>
                <w:color w:val="202124"/>
                <w:lang w:eastAsia="pl-PL"/>
              </w:rPr>
            </w:pPr>
            <w:r>
              <w:rPr>
                <w:rFonts w:eastAsia="Times New Roman" w:cs="Courier New"/>
                <w:color w:val="202124"/>
                <w:kern w:val="0"/>
                <w:sz w:val="22"/>
                <w:lang w:eastAsia="pl-PL"/>
              </w:rPr>
              <w:t>Logistics of crisis situations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 xml:space="preserve">Kierunek studiów 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Poziom studiów (I, II, jednolite magisterskie)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Forma studiów (stacjonarne, niestacjonarne)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Dyscyplina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Język wykładowy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Koordynator przedmiotu/osoba odpowiedzialna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Dr Konrad Słowiński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2"/>
        <w:gridCol w:w="2303"/>
        <w:gridCol w:w="2304"/>
        <w:gridCol w:w="2301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 xml:space="preserve">Forma zajęć </w:t>
            </w:r>
            <w:r>
              <w:rPr>
                <w:rFonts w:cs="Times New Roman"/>
                <w:i/>
                <w:kern w:val="0"/>
                <w:sz w:val="22"/>
              </w:rPr>
              <w:t>(katalog zamknięty ze słownika)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Liczba godzin</w:t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semestr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wykład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2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konwersatorium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30</w:t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3</w:t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ćwiczenia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laboratorium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warsztaty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proseminarium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lektorat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praktyki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zajęcia terenowe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pracownia dyplomowa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translatorium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wizyta studyjna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Wymagania wstępne</w:t>
            </w:r>
          </w:p>
        </w:tc>
        <w:tc>
          <w:tcPr>
            <w:tcW w:w="6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C1 - Wyposażenie studenta w wiedzę w zakresie logistyki oraz logistyki w sytuacjach kryzysowych.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C2 - Nabycie przez studenta umiejętności organizacji dostaw i usług logistycznych dla ludności  w sytuacjach kryzysowych.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C3 - Nabycie przez studenta umiejętności stosowania procedur zarządzania logistycznego w sytuacjach kryzysowych.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5952"/>
        <w:gridCol w:w="2160"/>
      </w:tblGrid>
      <w:tr>
        <w:trPr/>
        <w:tc>
          <w:tcPr>
            <w:tcW w:w="10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Symbol</w:t>
            </w:r>
          </w:p>
        </w:tc>
        <w:tc>
          <w:tcPr>
            <w:tcW w:w="59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Opis efektu przedmiotowego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WIEDZA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W_01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Absolwent zna i rozumie interdyscyplinarny charakter wiedzy z dziedziny nauk społecznych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K_W04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W_02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Absolwent zna i rozumie w sposób pogłębiony uwarunkowania bezpieczeństwa państwa zarówno w skali lokalnej, regionalnej (ogólnopaństwowej), jak i międzynarodowej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K_W05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W_04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Absolwent zna i rozumie teorię i praktykę funkcjonowania instytucji politycznych i społecznych oraz złożoność ich wzajemnych relacji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K-W05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U_01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Absolwent potrafi wykorzystać posiadaną, pogłębioną wiedzę teoretyczną do analizowania, diagnozowania, wyjaśniania oraz prognozowania kwestii szczegółowych odnoszących się do bezpieczeństwa narodowego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K_U06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U_03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Absolwent potrafi wykorzystywać pogłębioną wiedzę teoretyczną w rozwiązywaniu problemów związanych z bezpieczeństwem narodowym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K_U09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K_01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Absolwent jest gotów do dokonania oceny i samooceny wiedzy oraz umiejętności we wskazanym zakresie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K_K02</w:t>
            </w:r>
          </w:p>
        </w:tc>
      </w:tr>
    </w:tbl>
    <w:p>
      <w:pPr>
        <w:pStyle w:val="ListParagraph"/>
        <w:ind w:left="1080" w:hanging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1. Przedstawienie rygorów związanych z uczestnictwem w konwersatorium oraz jego zaliczeniem. Omówienie literatury, dokumentów i źródeł internetowych, wprowadzenie w problematykę konwersatorium.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2. Logistyka, jej istota oraz praktyka.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kern w:val="0"/>
                <w:sz w:val="22"/>
              </w:rPr>
              <w:t>3.Sytuacje kryzysowe (kryzys, sytuacja kryzysowa, rodzaje sytuacji kryzysowych).</w:t>
              <w:br/>
              <w:t>4. Zasady i etapy zarządzania kryzysowego.</w:t>
              <w:br/>
              <w:t>5. L</w:t>
            </w: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ogistyka w sytuacjach kryzysowych.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kern w:val="0"/>
                <w:sz w:val="22"/>
              </w:rPr>
              <w:t>6.</w:t>
            </w: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 xml:space="preserve"> Organizacja i procedury zarządzania logistycznego w sytuacji kryzysowej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 xml:space="preserve">7. Potencjał logistyczny w sytuacjach kryzysowych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 xml:space="preserve">8. Potrzeby i dostawy logistyczne w sytuacji kryzysowej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kern w:val="0"/>
                <w:sz w:val="22"/>
              </w:rPr>
              <w:t xml:space="preserve">9. </w:t>
            </w: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 xml:space="preserve">Procedury organizacji dostaw i usług w sytuacji kryzysowej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kern w:val="0"/>
                <w:sz w:val="22"/>
              </w:rPr>
              <w:t xml:space="preserve">10. </w:t>
            </w: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 xml:space="preserve">Logistyka w administracji publicznej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/>
                <w:b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 xml:space="preserve">11. Organizacja usług medycznych w sytuacji kryzysowej. </w:t>
            </w:r>
          </w:p>
        </w:tc>
      </w:tr>
    </w:tbl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2694"/>
        <w:gridCol w:w="2835"/>
        <w:gridCol w:w="2583"/>
      </w:tblGrid>
      <w:tr>
        <w:trPr/>
        <w:tc>
          <w:tcPr>
            <w:tcW w:w="10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Symbol efektu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kern w:val="0"/>
                <w:sz w:val="22"/>
              </w:rPr>
              <w:t>(lista wyboru)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kern w:val="0"/>
                <w:sz w:val="22"/>
              </w:rPr>
              <w:t>(lista wyboru)</w:t>
            </w:r>
          </w:p>
        </w:tc>
        <w:tc>
          <w:tcPr>
            <w:tcW w:w="25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kern w:val="0"/>
                <w:sz w:val="22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WIEDZA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W_01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Wykład konserwatoryjny/Dyskusja/Praca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W_02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Wykład konserwatoryjny/Dyskusja/Praca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W_03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Wykład konserwatoryjny/Dyskusja/Praca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U_01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U_02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K_01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Dyskusja/Praca w grupach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Zaliczanie pisemne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ind w:left="1080" w:hanging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Forma aktywności studenta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  <w:kern w:val="0"/>
                <w:sz w:val="22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kern w:val="0"/>
                <w:sz w:val="22"/>
              </w:rPr>
              <w:t>30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  <w:kern w:val="0"/>
                <w:sz w:val="22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kern w:val="0"/>
                <w:sz w:val="22"/>
              </w:rPr>
              <w:t>30</w:t>
            </w:r>
          </w:p>
        </w:tc>
      </w:tr>
    </w:tbl>
    <w:p>
      <w:pPr>
        <w:pStyle w:val="Normal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cs="Times New Roman"/>
          <w:b/>
          <w:b/>
        </w:rPr>
      </w:pPr>
      <w:r>
        <w:rPr>
          <w:rFonts w:cs="Times New Roman"/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1. Dworecki S. E., Logistyka w bezpieczeństwie (Zarządzanie jakością procesów zasileniowych), Warszawa: Wyd. SGSP 2015.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2. Nowak E., Zarządzanie logistyczne w sytuacjach kryzysowych, Warszawa: Wyd. AON 2008.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3. Nowak E., Logistyka w sytuacjach kryzysowych, Warszawa: Wyd. AON 2009.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4. Szymonik A., Logistyka w bezpieczeństwie, Warszawa: Wyd. Difin 2011.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5. Bardi J.E., Coyle J.J., Langley C.J., Zarządzanie logistyczne, Warszawa: PWE 2016.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284"/>
              <w:jc w:val="left"/>
              <w:rPr>
                <w:kern w:val="0"/>
                <w:sz w:val="22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6. Ficoń K., Logistyka kryzysowa. Procedury, potrzeby, potencjał, Warszawa: Wyd. Bel Studio 2011.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  <w:sz w:val="22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7.</w:t>
            </w:r>
            <w:r>
              <w:rPr>
                <w:rFonts w:cs="Times New Roman"/>
                <w:kern w:val="0"/>
                <w:sz w:val="22"/>
              </w:rPr>
              <w:t>K. Sienkiewicz-Małyjurek, F. R. Krynojewski, Zarządzanie kryzysowe w administracji publicznej, Warszawa 2010.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kern w:val="0"/>
                <w:sz w:val="22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1. Krawczyk S., Zarządzanie procesami logistycznymi, Warszawa: PWE 2001.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2. Szymonik A. (red.), Zarządzanie zapasami i łańcuchem dostaw, Warszawa: Wyd. Difin  2013.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3. Szmitkowski P., Zabezpieczenie logistyczne w sytuacjach kryzysowych, Siedlce: UP-H 2019.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  <w:sz w:val="22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4. Piątek Z., Procedury i przedsięwzięcia systemu reagowania kryzysowego, Warszawa 2005.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  <w:sz w:val="22"/>
              </w:rPr>
            </w:pPr>
            <w:r>
              <w:rPr>
                <w:rFonts w:eastAsia="Times New Roman" w:cs="Times New Roman"/>
                <w:kern w:val="0"/>
                <w:sz w:val="22"/>
                <w:lang w:eastAsia="pl-PL"/>
              </w:rPr>
              <w:t>5. Dworecki S. E., Zarządzanie logistyczne, Pułtusk: Wyd. WSH 1999.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kern w:val="0"/>
                <w:sz w:val="22"/>
              </w:rPr>
            </w:r>
          </w:p>
        </w:tc>
      </w:tr>
    </w:tbl>
    <w:p>
      <w:pPr>
        <w:pStyle w:val="Normal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45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46d2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46d2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a7da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a7da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52E1-0F5A-4FC1-A116-B09648F8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LibreOffice/7.0.4.2$Windows_x86 LibreOffice_project/dcf040e67528d9187c66b2379df5ea4407429775</Application>
  <AppVersion>15.0000</AppVersion>
  <DocSecurity>0</DocSecurity>
  <Pages>4</Pages>
  <Words>799</Words>
  <Characters>5673</Characters>
  <CharactersWithSpaces>6343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2020-12-12T11:01:00Z</dcterms:created>
  <dc:creator>Anna Łukasiewicz</dc:creator>
  <dc:description/>
  <dc:language>pl-PL</dc:language>
  <cp:lastModifiedBy/>
  <cp:lastPrinted>2019-11-23T10:59:00Z</cp:lastPrinted>
  <dcterms:modified xsi:type="dcterms:W3CDTF">2022-03-17T14:14:49Z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