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84" w:rsidRDefault="00D1325B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A21B84" w:rsidRDefault="00D1325B">
      <w:pPr>
        <w:spacing w:after="120"/>
      </w:pPr>
      <w:r>
        <w:t>Cykl kształcenia od roku akademickiego: 2022/2023</w:t>
      </w:r>
    </w:p>
    <w:p w:rsidR="00A21B84" w:rsidRDefault="00A21B84">
      <w:pPr>
        <w:rPr>
          <w:b/>
        </w:rPr>
      </w:pPr>
    </w:p>
    <w:p w:rsidR="00A21B84" w:rsidRDefault="00D132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Mikroekonomia</w:t>
            </w:r>
          </w:p>
        </w:tc>
      </w:tr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spellStart"/>
            <w:r>
              <w:t>Microeconomics</w:t>
            </w:r>
            <w:proofErr w:type="spellEnd"/>
          </w:p>
        </w:tc>
      </w:tr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Zarządzanie</w:t>
            </w:r>
          </w:p>
        </w:tc>
      </w:tr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 xml:space="preserve">I </w:t>
            </w:r>
            <w:r>
              <w:t>stopnia</w:t>
            </w:r>
          </w:p>
        </w:tc>
      </w:tr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stacjonarne</w:t>
            </w:r>
            <w:proofErr w:type="gramEnd"/>
          </w:p>
        </w:tc>
      </w:tr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Nauki o zarzadzaniu i jakości</w:t>
            </w:r>
          </w:p>
        </w:tc>
      </w:tr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Język polski</w:t>
            </w:r>
          </w:p>
        </w:tc>
      </w:tr>
    </w:tbl>
    <w:p w:rsidR="00A21B84" w:rsidRDefault="00A21B84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A21B84">
        <w:tc>
          <w:tcPr>
            <w:tcW w:w="453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Koordynator przedmiotu</w:t>
            </w:r>
          </w:p>
        </w:tc>
        <w:tc>
          <w:tcPr>
            <w:tcW w:w="45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dr</w:t>
            </w:r>
            <w:proofErr w:type="gramEnd"/>
            <w:r>
              <w:t xml:space="preserve"> Katarzyna Jabłońska-Karczmarczyk</w:t>
            </w:r>
          </w:p>
          <w:p w:rsidR="00A21B84" w:rsidRDefault="00A21B84">
            <w:pPr>
              <w:spacing w:after="0" w:line="240" w:lineRule="auto"/>
            </w:pPr>
          </w:p>
        </w:tc>
      </w:tr>
    </w:tbl>
    <w:p w:rsidR="00A21B84" w:rsidRDefault="00A21B84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85"/>
        <w:gridCol w:w="2257"/>
        <w:gridCol w:w="2260"/>
        <w:gridCol w:w="2260"/>
      </w:tblGrid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7" w:type="dxa"/>
            <w:shd w:val="clear" w:color="auto" w:fill="auto"/>
          </w:tcPr>
          <w:p w:rsidR="00A21B84" w:rsidRDefault="00D1325B">
            <w:pPr>
              <w:spacing w:after="0" w:line="240" w:lineRule="auto"/>
              <w:jc w:val="center"/>
            </w:pPr>
            <w:r>
              <w:t xml:space="preserve">Liczba </w:t>
            </w:r>
            <w:r>
              <w:t>godzin</w:t>
            </w:r>
          </w:p>
        </w:tc>
        <w:tc>
          <w:tcPr>
            <w:tcW w:w="2260" w:type="dxa"/>
            <w:shd w:val="clear" w:color="auto" w:fill="auto"/>
          </w:tcPr>
          <w:p w:rsidR="00A21B84" w:rsidRDefault="00D1325B">
            <w:pPr>
              <w:spacing w:after="0" w:line="240" w:lineRule="auto"/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60" w:type="dxa"/>
            <w:shd w:val="clear" w:color="auto" w:fill="auto"/>
          </w:tcPr>
          <w:p w:rsidR="00A21B84" w:rsidRDefault="00D1325B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wykład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30</w:t>
            </w:r>
          </w:p>
        </w:tc>
        <w:tc>
          <w:tcPr>
            <w:tcW w:w="226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I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6</w:t>
            </w: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konwersatorium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ćwiczenia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30</w:t>
            </w:r>
          </w:p>
        </w:tc>
        <w:tc>
          <w:tcPr>
            <w:tcW w:w="226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I</w:t>
            </w: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laboratorium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warsztaty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seminarium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proseminarium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lektorat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praktyki</w:t>
            </w:r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228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257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0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</w:tbl>
    <w:p w:rsidR="00A21B84" w:rsidRDefault="00A21B84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12"/>
        <w:gridCol w:w="6850"/>
      </w:tblGrid>
      <w:tr w:rsidR="00A21B84">
        <w:tc>
          <w:tcPr>
            <w:tcW w:w="221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849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Student, który rozpoczyna zajęcia z przedmiotu w dostatecznym stopniu opanował wiedzę z matematyki w zakresie znajomości podstawowych zależności funkcyjnych i pochodnych funkcji.</w:t>
            </w:r>
          </w:p>
        </w:tc>
      </w:tr>
    </w:tbl>
    <w:p w:rsidR="00A21B84" w:rsidRDefault="00A21B84">
      <w:pPr>
        <w:spacing w:after="0"/>
      </w:pPr>
    </w:p>
    <w:p w:rsidR="00A21B84" w:rsidRDefault="00A21B84">
      <w:pPr>
        <w:spacing w:after="0"/>
      </w:pPr>
    </w:p>
    <w:p w:rsidR="00A21B84" w:rsidRDefault="00D132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21B84">
        <w:tc>
          <w:tcPr>
            <w:tcW w:w="906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Celem przedmiotu jest n</w:t>
            </w:r>
            <w:r>
              <w:t xml:space="preserve">abycie przez studentów umiejętności rozumienia i posługiwania się podstawowymi kategoriami gospodarki rynkowej; wykorzystywania teorii konsumenta i producenta do interpretowania problemów praktyki gospodarczej oraz do oceny racjonalności decyzji podmiotów </w:t>
            </w:r>
            <w:r>
              <w:t>gospodarczych i gospodarstw domowych.</w:t>
            </w:r>
          </w:p>
        </w:tc>
      </w:tr>
      <w:tr w:rsidR="00A21B84">
        <w:tc>
          <w:tcPr>
            <w:tcW w:w="9062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9062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</w:tbl>
    <w:p w:rsidR="00A21B84" w:rsidRDefault="00A21B84">
      <w:pPr>
        <w:spacing w:after="0"/>
      </w:pPr>
    </w:p>
    <w:p w:rsidR="00A21B84" w:rsidRDefault="00D1325B">
      <w:r>
        <w:br w:type="page"/>
      </w:r>
    </w:p>
    <w:p w:rsidR="00A21B84" w:rsidRDefault="00A21B84">
      <w:pPr>
        <w:spacing w:after="0"/>
      </w:pPr>
    </w:p>
    <w:p w:rsidR="00A21B84" w:rsidRDefault="00D132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3"/>
        <w:gridCol w:w="5831"/>
        <w:gridCol w:w="2138"/>
      </w:tblGrid>
      <w:tr w:rsidR="00A21B84">
        <w:tc>
          <w:tcPr>
            <w:tcW w:w="1093" w:type="dxa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A21B84">
        <w:tc>
          <w:tcPr>
            <w:tcW w:w="9062" w:type="dxa"/>
            <w:gridSpan w:val="3"/>
            <w:shd w:val="clear" w:color="auto" w:fill="auto"/>
          </w:tcPr>
          <w:p w:rsidR="00A21B84" w:rsidRDefault="00D1325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W_01</w:t>
            </w:r>
          </w:p>
        </w:tc>
        <w:tc>
          <w:tcPr>
            <w:tcW w:w="5831" w:type="dxa"/>
            <w:shd w:val="clear" w:color="auto" w:fill="auto"/>
          </w:tcPr>
          <w:p w:rsidR="00A21B84" w:rsidRDefault="00D1325B">
            <w:pPr>
              <w:spacing w:after="0" w:line="240" w:lineRule="auto"/>
              <w:jc w:val="both"/>
            </w:pPr>
            <w:r>
              <w:t>Student nazywa i wyjaśnia</w:t>
            </w:r>
            <w:r>
              <w:t xml:space="preserve"> podstawowe kategorie z zakresu teorii mikroekonomii.</w:t>
            </w:r>
          </w:p>
        </w:tc>
        <w:tc>
          <w:tcPr>
            <w:tcW w:w="2138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K_W01</w:t>
            </w: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W_02</w:t>
            </w:r>
          </w:p>
        </w:tc>
        <w:tc>
          <w:tcPr>
            <w:tcW w:w="5831" w:type="dxa"/>
            <w:shd w:val="clear" w:color="auto" w:fill="auto"/>
          </w:tcPr>
          <w:p w:rsidR="00A21B84" w:rsidRDefault="00D1325B">
            <w:pPr>
              <w:spacing w:after="0" w:line="240" w:lineRule="auto"/>
              <w:jc w:val="both"/>
            </w:pPr>
            <w:r>
              <w:t xml:space="preserve">Student rozpoznaje i wymienia narzędzia analizy ekonomicznej oraz modele teoretyczne wykorzystywane do wyjaśniania procesów </w:t>
            </w:r>
            <w:proofErr w:type="spellStart"/>
            <w:r>
              <w:t>przyczynowo-skutkowych</w:t>
            </w:r>
            <w:proofErr w:type="spellEnd"/>
            <w:r>
              <w:t xml:space="preserve"> zachodzących w skali mikroekonomicznej.</w:t>
            </w:r>
          </w:p>
        </w:tc>
        <w:tc>
          <w:tcPr>
            <w:tcW w:w="2138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K_W02</w:t>
            </w: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W_03</w:t>
            </w:r>
          </w:p>
        </w:tc>
        <w:tc>
          <w:tcPr>
            <w:tcW w:w="5831" w:type="dxa"/>
            <w:shd w:val="clear" w:color="auto" w:fill="auto"/>
          </w:tcPr>
          <w:p w:rsidR="00A21B84" w:rsidRDefault="00D1325B">
            <w:pPr>
              <w:spacing w:after="0" w:line="240" w:lineRule="auto"/>
              <w:jc w:val="both"/>
            </w:pPr>
            <w:r>
              <w:t>Student charakteryzuje funkcjonowanie rynków: towarów i usług, czynników produkcji oraz podmiotów gospodarczych.</w:t>
            </w:r>
          </w:p>
        </w:tc>
        <w:tc>
          <w:tcPr>
            <w:tcW w:w="2138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K_W01</w:t>
            </w:r>
          </w:p>
        </w:tc>
      </w:tr>
      <w:tr w:rsidR="00A21B84">
        <w:tc>
          <w:tcPr>
            <w:tcW w:w="9062" w:type="dxa"/>
            <w:gridSpan w:val="3"/>
            <w:shd w:val="clear" w:color="auto" w:fill="auto"/>
          </w:tcPr>
          <w:p w:rsidR="00A21B84" w:rsidRDefault="00D1325B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U_01</w:t>
            </w:r>
          </w:p>
        </w:tc>
        <w:tc>
          <w:tcPr>
            <w:tcW w:w="5831" w:type="dxa"/>
            <w:shd w:val="clear" w:color="auto" w:fill="auto"/>
          </w:tcPr>
          <w:p w:rsidR="00A21B84" w:rsidRDefault="00D1325B">
            <w:pPr>
              <w:spacing w:after="0" w:line="240" w:lineRule="auto"/>
              <w:jc w:val="both"/>
            </w:pPr>
            <w:r>
              <w:t>Student posługuje się teoriami</w:t>
            </w:r>
            <w:r>
              <w:t xml:space="preserve"> ekonomii w identyfikowaniu i rozwiązywaniu problemów w skali mikroekonomicznej.</w:t>
            </w:r>
          </w:p>
        </w:tc>
        <w:tc>
          <w:tcPr>
            <w:tcW w:w="2138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K_U01</w:t>
            </w: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U_02</w:t>
            </w:r>
          </w:p>
        </w:tc>
        <w:tc>
          <w:tcPr>
            <w:tcW w:w="5831" w:type="dxa"/>
            <w:shd w:val="clear" w:color="auto" w:fill="auto"/>
          </w:tcPr>
          <w:p w:rsidR="00A21B84" w:rsidRDefault="00D1325B">
            <w:pPr>
              <w:spacing w:after="0" w:line="240" w:lineRule="auto"/>
              <w:jc w:val="both"/>
            </w:pPr>
            <w:r>
              <w:t>Student analizuje przyczyny i ocenia przebieg procesów związanych z funkcjonowaniem podmiotów ekonomicznych i rynków czynników produkcji.</w:t>
            </w:r>
          </w:p>
        </w:tc>
        <w:tc>
          <w:tcPr>
            <w:tcW w:w="2138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K_U01</w:t>
            </w: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U_03</w:t>
            </w:r>
          </w:p>
        </w:tc>
        <w:tc>
          <w:tcPr>
            <w:tcW w:w="5831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Student posłu</w:t>
            </w:r>
            <w:r>
              <w:t>guje się podstawowymi pojęciami w zakresie mikroekonomii w komunikacji z otoczeniem.</w:t>
            </w:r>
          </w:p>
        </w:tc>
        <w:tc>
          <w:tcPr>
            <w:tcW w:w="2138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K_U04</w:t>
            </w:r>
          </w:p>
        </w:tc>
      </w:tr>
      <w:tr w:rsidR="00A21B84">
        <w:tc>
          <w:tcPr>
            <w:tcW w:w="9062" w:type="dxa"/>
            <w:gridSpan w:val="3"/>
            <w:shd w:val="clear" w:color="auto" w:fill="auto"/>
          </w:tcPr>
          <w:p w:rsidR="00A21B84" w:rsidRDefault="00D1325B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K_01</w:t>
            </w:r>
          </w:p>
        </w:tc>
        <w:tc>
          <w:tcPr>
            <w:tcW w:w="5831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138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K_02</w:t>
            </w:r>
          </w:p>
        </w:tc>
        <w:tc>
          <w:tcPr>
            <w:tcW w:w="5831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138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1093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K_...</w:t>
            </w:r>
          </w:p>
        </w:tc>
        <w:tc>
          <w:tcPr>
            <w:tcW w:w="5831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138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</w:tbl>
    <w:p w:rsidR="00A21B84" w:rsidRDefault="00A21B84">
      <w:pPr>
        <w:pStyle w:val="Akapitzlist"/>
        <w:ind w:left="1080"/>
        <w:rPr>
          <w:b/>
        </w:rPr>
      </w:pPr>
    </w:p>
    <w:p w:rsidR="00A21B84" w:rsidRDefault="00D132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21B84">
        <w:tc>
          <w:tcPr>
            <w:tcW w:w="906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1. Podstawowe zagadnienia i problemy mikroekonomii</w:t>
            </w:r>
          </w:p>
          <w:p w:rsidR="00A21B84" w:rsidRDefault="00D1325B">
            <w:pPr>
              <w:spacing w:after="0" w:line="240" w:lineRule="auto"/>
            </w:pPr>
            <w:r>
              <w:t xml:space="preserve">2. Mechanizm funkcjonowania </w:t>
            </w:r>
            <w:r>
              <w:t>rynku</w:t>
            </w:r>
          </w:p>
          <w:p w:rsidR="00A21B84" w:rsidRDefault="00D1325B">
            <w:pPr>
              <w:spacing w:after="0" w:line="240" w:lineRule="auto"/>
            </w:pPr>
            <w:r>
              <w:t>3. Równowaga i nierównowaga rynkowa</w:t>
            </w:r>
          </w:p>
          <w:p w:rsidR="00A21B84" w:rsidRDefault="00D1325B">
            <w:pPr>
              <w:spacing w:after="0" w:line="240" w:lineRule="auto"/>
            </w:pPr>
            <w:r>
              <w:t>4. Elastyczność i jego zastosowanie</w:t>
            </w:r>
          </w:p>
          <w:p w:rsidR="00A21B84" w:rsidRDefault="00D1325B">
            <w:pPr>
              <w:spacing w:after="0" w:line="240" w:lineRule="auto"/>
            </w:pPr>
            <w:r>
              <w:t>5.Teoria wyboru konsumenta</w:t>
            </w:r>
          </w:p>
          <w:p w:rsidR="00A21B84" w:rsidRDefault="00D1325B">
            <w:pPr>
              <w:spacing w:after="0" w:line="240" w:lineRule="auto"/>
            </w:pPr>
            <w:r>
              <w:t xml:space="preserve">6.Teoria popytu konsumenta </w:t>
            </w:r>
          </w:p>
          <w:p w:rsidR="00A21B84" w:rsidRDefault="00D1325B">
            <w:pPr>
              <w:spacing w:after="0" w:line="240" w:lineRule="auto"/>
            </w:pPr>
            <w:r>
              <w:t>7.Teoria produkcji</w:t>
            </w:r>
          </w:p>
          <w:p w:rsidR="00A21B84" w:rsidRDefault="00D1325B">
            <w:pPr>
              <w:spacing w:after="0" w:line="240" w:lineRule="auto"/>
            </w:pPr>
            <w:r>
              <w:t>8.Teoria kosztów i zysków</w:t>
            </w:r>
          </w:p>
          <w:p w:rsidR="00A21B84" w:rsidRDefault="00D1325B">
            <w:pPr>
              <w:spacing w:after="0" w:line="240" w:lineRule="auto"/>
            </w:pPr>
            <w:r>
              <w:t>9. Konkurencja doskonała</w:t>
            </w:r>
          </w:p>
          <w:p w:rsidR="00A21B84" w:rsidRDefault="00D1325B">
            <w:pPr>
              <w:spacing w:after="0" w:line="240" w:lineRule="auto"/>
            </w:pPr>
            <w:r>
              <w:t>10. Monopol pełny</w:t>
            </w:r>
          </w:p>
          <w:p w:rsidR="00A21B84" w:rsidRDefault="00D1325B">
            <w:pPr>
              <w:spacing w:after="0" w:line="240" w:lineRule="auto"/>
            </w:pPr>
            <w:r>
              <w:t>11. Konkurencja monopolistyczna</w:t>
            </w:r>
          </w:p>
          <w:p w:rsidR="00A21B84" w:rsidRDefault="00D1325B">
            <w:pPr>
              <w:spacing w:after="0" w:line="240" w:lineRule="auto"/>
            </w:pPr>
            <w:r>
              <w:t>12.</w:t>
            </w:r>
            <w:r>
              <w:t xml:space="preserve"> Oligopol</w:t>
            </w:r>
          </w:p>
          <w:p w:rsidR="00A21B84" w:rsidRDefault="00D1325B">
            <w:pPr>
              <w:spacing w:after="0" w:line="240" w:lineRule="auto"/>
            </w:pPr>
            <w:r>
              <w:t>13. Rynek czynników produkcji</w:t>
            </w:r>
          </w:p>
          <w:p w:rsidR="00A21B84" w:rsidRDefault="00D1325B">
            <w:pPr>
              <w:spacing w:after="0" w:line="240" w:lineRule="auto"/>
              <w:rPr>
                <w:b/>
              </w:rPr>
            </w:pPr>
            <w:r>
              <w:t>14. Efekty zewnętrzne w ekonomii</w:t>
            </w:r>
          </w:p>
        </w:tc>
      </w:tr>
    </w:tbl>
    <w:p w:rsidR="00A21B84" w:rsidRDefault="00A21B84">
      <w:pPr>
        <w:rPr>
          <w:b/>
        </w:rPr>
      </w:pPr>
    </w:p>
    <w:p w:rsidR="00A21B84" w:rsidRDefault="00D132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93"/>
        <w:gridCol w:w="2655"/>
        <w:gridCol w:w="2774"/>
        <w:gridCol w:w="2540"/>
      </w:tblGrid>
      <w:tr w:rsidR="00A21B84">
        <w:tc>
          <w:tcPr>
            <w:tcW w:w="1092" w:type="dxa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Metody dydaktyczne</w:t>
            </w:r>
          </w:p>
          <w:p w:rsidR="00A21B84" w:rsidRDefault="00D1325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Metody weryfikacji</w:t>
            </w:r>
          </w:p>
          <w:p w:rsidR="00A21B84" w:rsidRDefault="00D1325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Sposoby dokumentacji</w:t>
            </w:r>
          </w:p>
          <w:p w:rsidR="00A21B84" w:rsidRDefault="00D1325B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A21B84">
        <w:tc>
          <w:tcPr>
            <w:tcW w:w="9061" w:type="dxa"/>
            <w:gridSpan w:val="4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lastRenderedPageBreak/>
              <w:t>W_01</w:t>
            </w:r>
          </w:p>
        </w:tc>
        <w:tc>
          <w:tcPr>
            <w:tcW w:w="265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Wykład konwencjonalny</w:t>
            </w:r>
          </w:p>
        </w:tc>
        <w:tc>
          <w:tcPr>
            <w:tcW w:w="277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Egzamin</w:t>
            </w:r>
          </w:p>
        </w:tc>
        <w:tc>
          <w:tcPr>
            <w:tcW w:w="254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Ocenione prace pisemne/ protokół</w:t>
            </w: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W_02</w:t>
            </w:r>
          </w:p>
        </w:tc>
        <w:tc>
          <w:tcPr>
            <w:tcW w:w="265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Wykład konwencjonalny</w:t>
            </w:r>
          </w:p>
        </w:tc>
        <w:tc>
          <w:tcPr>
            <w:tcW w:w="277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Egzamin</w:t>
            </w:r>
          </w:p>
        </w:tc>
        <w:tc>
          <w:tcPr>
            <w:tcW w:w="254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Ocenione prace pisemne/ protokół</w:t>
            </w: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W_03</w:t>
            </w:r>
          </w:p>
        </w:tc>
        <w:tc>
          <w:tcPr>
            <w:tcW w:w="265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Wykład konwencjonalny</w:t>
            </w:r>
          </w:p>
        </w:tc>
        <w:tc>
          <w:tcPr>
            <w:tcW w:w="277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Egzamin</w:t>
            </w:r>
          </w:p>
        </w:tc>
        <w:tc>
          <w:tcPr>
            <w:tcW w:w="254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Ocenione prace pisemne/ protokół</w:t>
            </w:r>
          </w:p>
        </w:tc>
      </w:tr>
      <w:tr w:rsidR="00A21B84">
        <w:tc>
          <w:tcPr>
            <w:tcW w:w="9061" w:type="dxa"/>
            <w:gridSpan w:val="4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U_01</w:t>
            </w:r>
          </w:p>
        </w:tc>
        <w:tc>
          <w:tcPr>
            <w:tcW w:w="265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Kolokwium</w:t>
            </w:r>
          </w:p>
        </w:tc>
        <w:tc>
          <w:tcPr>
            <w:tcW w:w="254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 xml:space="preserve">Uzupełnione i ocenione kolokwium </w:t>
            </w: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U_02</w:t>
            </w:r>
          </w:p>
        </w:tc>
        <w:tc>
          <w:tcPr>
            <w:tcW w:w="265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Kolokwium</w:t>
            </w:r>
          </w:p>
        </w:tc>
        <w:tc>
          <w:tcPr>
            <w:tcW w:w="254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 xml:space="preserve">Uzupełnione i ocenione kolokwium </w:t>
            </w: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U_03</w:t>
            </w:r>
          </w:p>
        </w:tc>
        <w:tc>
          <w:tcPr>
            <w:tcW w:w="265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Ćwiczenia praktyczne</w:t>
            </w:r>
          </w:p>
        </w:tc>
        <w:tc>
          <w:tcPr>
            <w:tcW w:w="277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Kolokwium</w:t>
            </w:r>
          </w:p>
        </w:tc>
        <w:tc>
          <w:tcPr>
            <w:tcW w:w="2540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Uzupełnione i ocenione kolokwium/ Odpowiedź ustna</w:t>
            </w:r>
          </w:p>
        </w:tc>
      </w:tr>
      <w:tr w:rsidR="00A21B84">
        <w:tc>
          <w:tcPr>
            <w:tcW w:w="9061" w:type="dxa"/>
            <w:gridSpan w:val="4"/>
            <w:shd w:val="clear" w:color="auto" w:fill="auto"/>
            <w:vAlign w:val="center"/>
          </w:tcPr>
          <w:p w:rsidR="00A21B84" w:rsidRDefault="00D1325B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K_01</w:t>
            </w:r>
          </w:p>
        </w:tc>
        <w:tc>
          <w:tcPr>
            <w:tcW w:w="2655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774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54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K_02</w:t>
            </w:r>
          </w:p>
        </w:tc>
        <w:tc>
          <w:tcPr>
            <w:tcW w:w="2655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774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54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  <w:tr w:rsidR="00A21B84">
        <w:tc>
          <w:tcPr>
            <w:tcW w:w="109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K_...</w:t>
            </w:r>
          </w:p>
        </w:tc>
        <w:tc>
          <w:tcPr>
            <w:tcW w:w="2655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774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540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</w:tr>
    </w:tbl>
    <w:p w:rsidR="00A21B84" w:rsidRDefault="00A21B84">
      <w:pPr>
        <w:spacing w:after="0"/>
      </w:pPr>
    </w:p>
    <w:p w:rsidR="00A21B84" w:rsidRDefault="00A21B84">
      <w:pPr>
        <w:pStyle w:val="Akapitzlist"/>
        <w:ind w:left="1080"/>
        <w:rPr>
          <w:b/>
        </w:rPr>
      </w:pPr>
    </w:p>
    <w:p w:rsidR="00A21B84" w:rsidRDefault="00D1325B">
      <w:pPr>
        <w:pStyle w:val="Akapitzlist"/>
        <w:numPr>
          <w:ilvl w:val="0"/>
          <w:numId w:val="1"/>
        </w:numPr>
      </w:pPr>
      <w:r>
        <w:rPr>
          <w:b/>
        </w:rPr>
        <w:t xml:space="preserve">Kryteria </w:t>
      </w:r>
      <w:r>
        <w:rPr>
          <w:b/>
        </w:rPr>
        <w:t>oceny, wagi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4"/>
        <w:gridCol w:w="2267"/>
      </w:tblGrid>
      <w:tr w:rsidR="00A21B84">
        <w:tc>
          <w:tcPr>
            <w:tcW w:w="2265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Sposób oceniania (składowe) 55.0% 50.0%</w:t>
            </w:r>
          </w:p>
        </w:tc>
        <w:tc>
          <w:tcPr>
            <w:tcW w:w="226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Próg zaliczeniowy</w:t>
            </w:r>
          </w:p>
        </w:tc>
        <w:tc>
          <w:tcPr>
            <w:tcW w:w="226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Składowa oceny końcowej</w:t>
            </w:r>
          </w:p>
        </w:tc>
      </w:tr>
      <w:tr w:rsidR="00A21B84">
        <w:tc>
          <w:tcPr>
            <w:tcW w:w="226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wykład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Egzamin pisemny</w:t>
            </w:r>
          </w:p>
        </w:tc>
        <w:tc>
          <w:tcPr>
            <w:tcW w:w="226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55%</w:t>
            </w:r>
          </w:p>
        </w:tc>
        <w:tc>
          <w:tcPr>
            <w:tcW w:w="226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100%</w:t>
            </w:r>
          </w:p>
        </w:tc>
      </w:tr>
      <w:tr w:rsidR="00A21B84">
        <w:trPr>
          <w:trHeight w:val="270"/>
        </w:trPr>
        <w:tc>
          <w:tcPr>
            <w:tcW w:w="2265" w:type="dxa"/>
            <w:vMerge w:val="restart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ćwiczenia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proofErr w:type="gramStart"/>
            <w:r>
              <w:t>kolokwium</w:t>
            </w:r>
            <w:proofErr w:type="gramEnd"/>
            <w:r>
              <w:t xml:space="preserve"> pisemne</w:t>
            </w:r>
          </w:p>
        </w:tc>
        <w:tc>
          <w:tcPr>
            <w:tcW w:w="226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55%</w:t>
            </w:r>
          </w:p>
        </w:tc>
        <w:tc>
          <w:tcPr>
            <w:tcW w:w="226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I kolokwium 40%</w:t>
            </w:r>
          </w:p>
          <w:p w:rsidR="00A21B84" w:rsidRDefault="00D1325B">
            <w:pPr>
              <w:spacing w:after="0" w:line="240" w:lineRule="auto"/>
            </w:pPr>
            <w:r>
              <w:t>II kolokwium 40%</w:t>
            </w:r>
          </w:p>
        </w:tc>
      </w:tr>
      <w:tr w:rsidR="00A21B84">
        <w:trPr>
          <w:trHeight w:val="270"/>
        </w:trPr>
        <w:tc>
          <w:tcPr>
            <w:tcW w:w="2265" w:type="dxa"/>
            <w:vMerge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Odpowiedź ustna</w:t>
            </w:r>
          </w:p>
        </w:tc>
        <w:tc>
          <w:tcPr>
            <w:tcW w:w="2264" w:type="dxa"/>
            <w:shd w:val="clear" w:color="auto" w:fill="auto"/>
          </w:tcPr>
          <w:p w:rsidR="00A21B84" w:rsidRDefault="00A21B84">
            <w:pPr>
              <w:spacing w:after="0" w:line="240" w:lineRule="auto"/>
            </w:pPr>
          </w:p>
        </w:tc>
        <w:tc>
          <w:tcPr>
            <w:tcW w:w="226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20%</w:t>
            </w:r>
          </w:p>
        </w:tc>
      </w:tr>
    </w:tbl>
    <w:p w:rsidR="00A21B84" w:rsidRDefault="00A21B84">
      <w:pPr>
        <w:rPr>
          <w:b/>
        </w:rPr>
      </w:pPr>
    </w:p>
    <w:p w:rsidR="00A21B84" w:rsidRDefault="00D1325B">
      <w:pPr>
        <w:rPr>
          <w:b/>
        </w:rPr>
      </w:pPr>
      <w:r>
        <w:rPr>
          <w:b/>
        </w:rPr>
        <w:t xml:space="preserve">Ocena bardzo dobra – 91% – 100% </w:t>
      </w:r>
    </w:p>
    <w:p w:rsidR="00A21B84" w:rsidRDefault="00D1325B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Ocena dobra – 71% - 90% </w:t>
      </w:r>
    </w:p>
    <w:p w:rsidR="00A21B84" w:rsidRDefault="00D1325B">
      <w:pPr>
        <w:rPr>
          <w:b/>
        </w:rPr>
      </w:pPr>
      <w:r>
        <w:rPr>
          <w:b/>
        </w:rPr>
        <w:t xml:space="preserve"> Ocena dostateczna – 51% - 70% </w:t>
      </w:r>
    </w:p>
    <w:p w:rsidR="00A21B84" w:rsidRDefault="00D1325B">
      <w:pPr>
        <w:rPr>
          <w:b/>
        </w:rPr>
      </w:pPr>
      <w:r>
        <w:rPr>
          <w:b/>
        </w:rPr>
        <w:t xml:space="preserve"> Ocena niedostateczna – równe lub mniejsze 50% </w:t>
      </w:r>
    </w:p>
    <w:p w:rsidR="00A21B84" w:rsidRDefault="00D1325B">
      <w:pPr>
        <w:rPr>
          <w:b/>
        </w:rPr>
      </w:pPr>
      <w:r>
        <w:br w:type="page"/>
      </w:r>
    </w:p>
    <w:p w:rsidR="00A21B84" w:rsidRDefault="00D132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Obciążenie pracą studenta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8"/>
        <w:gridCol w:w="4524"/>
      </w:tblGrid>
      <w:tr w:rsidR="00A21B84">
        <w:tc>
          <w:tcPr>
            <w:tcW w:w="453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524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Liczba godzin</w:t>
            </w:r>
          </w:p>
        </w:tc>
      </w:tr>
      <w:tr w:rsidR="00A21B84">
        <w:tc>
          <w:tcPr>
            <w:tcW w:w="453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A21B84" w:rsidRDefault="00A21B8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:rsidR="00A21B84" w:rsidRDefault="00D132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21B84">
        <w:tc>
          <w:tcPr>
            <w:tcW w:w="4537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 xml:space="preserve">Liczba godzin indywidualnej pracy </w:t>
            </w:r>
            <w:r>
              <w:t>studenta</w:t>
            </w:r>
          </w:p>
          <w:p w:rsidR="00A21B84" w:rsidRDefault="00A21B8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:rsidR="00A21B84" w:rsidRDefault="00D132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A21B84" w:rsidRDefault="00A21B84">
      <w:pPr>
        <w:spacing w:after="0"/>
        <w:rPr>
          <w:b/>
        </w:rPr>
      </w:pPr>
    </w:p>
    <w:p w:rsidR="00A21B84" w:rsidRDefault="00D132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21B84">
        <w:tc>
          <w:tcPr>
            <w:tcW w:w="906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Literatura podstawowa</w:t>
            </w:r>
          </w:p>
        </w:tc>
      </w:tr>
      <w:tr w:rsidR="00A21B84">
        <w:tc>
          <w:tcPr>
            <w:tcW w:w="906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Zalega T., Mikroekonomia współczesna, Uniwersytet Warszawski Wydział Zarządzania, Warszawa 2015</w:t>
            </w:r>
          </w:p>
          <w:p w:rsidR="00A21B84" w:rsidRDefault="00D1325B">
            <w:pPr>
              <w:spacing w:after="0" w:line="240" w:lineRule="auto"/>
            </w:pPr>
            <w:r>
              <w:t>Zalega T., Mikroekonomia współczesna. Zbiór zadań, Uniwersytet Warszawski Wydział Zarządzania, Warszawa 2015</w:t>
            </w:r>
          </w:p>
        </w:tc>
      </w:tr>
      <w:tr w:rsidR="00A21B84">
        <w:tc>
          <w:tcPr>
            <w:tcW w:w="906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Literatura uzupełniająca</w:t>
            </w:r>
          </w:p>
        </w:tc>
      </w:tr>
      <w:tr w:rsidR="00A21B84">
        <w:tc>
          <w:tcPr>
            <w:tcW w:w="9062" w:type="dxa"/>
            <w:shd w:val="clear" w:color="auto" w:fill="auto"/>
          </w:tcPr>
          <w:p w:rsidR="00A21B84" w:rsidRDefault="00D1325B">
            <w:pPr>
              <w:spacing w:after="0" w:line="240" w:lineRule="auto"/>
            </w:pPr>
            <w:r>
              <w:t>Borkowska B. (red), Mikroekonomia. Studia przypadków, Wyd. Uniwersytetu Ekonomicznego we Wrocławiu, Wrocław 2016.</w:t>
            </w:r>
          </w:p>
          <w:p w:rsidR="00A21B84" w:rsidRDefault="00D1325B">
            <w:pPr>
              <w:spacing w:after="0" w:line="240" w:lineRule="auto"/>
            </w:pPr>
            <w:proofErr w:type="spellStart"/>
            <w:r>
              <w:t>Krugman</w:t>
            </w:r>
            <w:proofErr w:type="spellEnd"/>
            <w:r>
              <w:t xml:space="preserve"> P., </w:t>
            </w:r>
            <w:proofErr w:type="spellStart"/>
            <w:r>
              <w:t>Wills</w:t>
            </w:r>
            <w:proofErr w:type="spellEnd"/>
            <w:r>
              <w:t xml:space="preserve"> R., Mikroekonomia, PWN, Warszawa 2013.</w:t>
            </w:r>
          </w:p>
          <w:p w:rsidR="00A21B84" w:rsidRDefault="00D1325B">
            <w:pPr>
              <w:spacing w:after="0" w:line="240" w:lineRule="auto"/>
            </w:pPr>
            <w:r>
              <w:t>Solek A., Drobny P., Tylec T., Ćwiczenia z mikroekonomii, W</w:t>
            </w:r>
            <w:r>
              <w:t>ydawnictwo Uniwersytetu Ekonomicznego, Kraków 2016.</w:t>
            </w:r>
          </w:p>
          <w:p w:rsidR="00A21B84" w:rsidRDefault="00D1325B">
            <w:pPr>
              <w:spacing w:after="0" w:line="240" w:lineRule="auto"/>
            </w:pPr>
            <w:r>
              <w:t>Tokarski T., Ekonomia matematyczna. Modele mikroekonomiczne, Polskie Wydawnictwo Ekonomiczne S. A., Warszawa 2011.</w:t>
            </w:r>
          </w:p>
          <w:p w:rsidR="00A21B84" w:rsidRDefault="00D1325B">
            <w:pPr>
              <w:spacing w:after="0" w:line="240" w:lineRule="auto"/>
            </w:pPr>
            <w:proofErr w:type="spellStart"/>
            <w:r>
              <w:t>Varian</w:t>
            </w:r>
            <w:proofErr w:type="spellEnd"/>
            <w:r>
              <w:t xml:space="preserve"> H. R., Mikroekonomia – kurs średni – ujęcie nowoczesne, (wydanie IV), PWN, Warszaw</w:t>
            </w:r>
            <w:r>
              <w:t>a 2013.</w:t>
            </w:r>
          </w:p>
          <w:p w:rsidR="00A21B84" w:rsidRDefault="00D1325B">
            <w:pPr>
              <w:spacing w:after="0" w:line="240" w:lineRule="auto"/>
            </w:pPr>
            <w:r>
              <w:t>Wolska G., Mikroekonomia. Pojęcia, przedmiot, ewolucja., PWE, Warszawa 2013.</w:t>
            </w:r>
          </w:p>
          <w:p w:rsidR="00A21B84" w:rsidRDefault="00A21B84">
            <w:pPr>
              <w:spacing w:after="0" w:line="240" w:lineRule="auto"/>
              <w:rPr>
                <w:b/>
              </w:rPr>
            </w:pPr>
          </w:p>
        </w:tc>
      </w:tr>
    </w:tbl>
    <w:p w:rsidR="00A21B84" w:rsidRDefault="00A21B84">
      <w:pPr>
        <w:spacing w:after="0"/>
        <w:rPr>
          <w:b/>
        </w:rPr>
      </w:pPr>
    </w:p>
    <w:p w:rsidR="00A21B84" w:rsidRDefault="00A21B84"/>
    <w:sectPr w:rsidR="00A21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5B" w:rsidRDefault="00D1325B">
      <w:pPr>
        <w:spacing w:after="0" w:line="240" w:lineRule="auto"/>
      </w:pPr>
      <w:r>
        <w:separator/>
      </w:r>
    </w:p>
  </w:endnote>
  <w:endnote w:type="continuationSeparator" w:id="0">
    <w:p w:rsidR="00D1325B" w:rsidRDefault="00D1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84" w:rsidRDefault="00A21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5B" w:rsidRDefault="00D1325B">
      <w:pPr>
        <w:spacing w:after="0" w:line="240" w:lineRule="auto"/>
      </w:pPr>
      <w:r>
        <w:separator/>
      </w:r>
    </w:p>
  </w:footnote>
  <w:footnote w:type="continuationSeparator" w:id="0">
    <w:p w:rsidR="00D1325B" w:rsidRDefault="00D1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84" w:rsidRDefault="00D1325B">
    <w:pPr>
      <w:pStyle w:val="Nagwek"/>
      <w:jc w:val="right"/>
      <w:rPr>
        <w:i/>
      </w:rPr>
    </w:pPr>
    <w:r>
      <w:rPr>
        <w:i/>
      </w:rPr>
      <w:t>Załącznik nr 5</w:t>
    </w:r>
  </w:p>
  <w:p w:rsidR="00A21B84" w:rsidRDefault="00A21B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ABF"/>
    <w:multiLevelType w:val="multilevel"/>
    <w:tmpl w:val="7A4674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02DD"/>
    <w:multiLevelType w:val="multilevel"/>
    <w:tmpl w:val="044EA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84"/>
    <w:rsid w:val="00A21B84"/>
    <w:rsid w:val="00D1325B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A54E-51F2-446B-AE2A-2D4BB16F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97D8-505F-4DC6-81ED-2046A4C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Autor</cp:lastModifiedBy>
  <cp:revision>2</cp:revision>
  <cp:lastPrinted>2019-01-23T11:10:00Z</cp:lastPrinted>
  <dcterms:created xsi:type="dcterms:W3CDTF">2022-04-28T05:17:00Z</dcterms:created>
  <dcterms:modified xsi:type="dcterms:W3CDTF">2022-04-28T05:17:00Z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