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200" w:line="276" w:lineRule="auto"/>
        <w:rPr>
          <w:b w:val="1"/>
          <w:color w:val="000000"/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KARTA PRZEDMIOTU</w:t>
      </w:r>
    </w:p>
    <w:p w:rsidR="00000000" w:rsidDel="00000000" w:rsidP="00000000" w:rsidRDefault="00000000" w:rsidRPr="00000000" w14:paraId="00000002">
      <w:pPr>
        <w:spacing w:after="200" w:line="276" w:lineRule="auto"/>
        <w:rPr>
          <w:b w:val="1"/>
          <w:color w:val="000000"/>
          <w:sz w:val="22"/>
          <w:szCs w:val="22"/>
        </w:rPr>
      </w:pPr>
      <w:r w:rsidDel="00000000" w:rsidR="00000000" w:rsidRPr="00000000">
        <w:rPr>
          <w:i w:val="1"/>
          <w:color w:val="000000"/>
          <w:sz w:val="20"/>
          <w:szCs w:val="20"/>
          <w:highlight w:val="white"/>
          <w:rtl w:val="0"/>
        </w:rPr>
        <w:t xml:space="preserve">Cykl kształcenia od roku akademickiego: 2021/22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Dane podstawowe</w:t>
      </w:r>
      <w:r w:rsidDel="00000000" w:rsidR="00000000" w:rsidRPr="00000000">
        <w:rPr>
          <w:rtl w:val="0"/>
        </w:rPr>
      </w:r>
    </w:p>
    <w:tbl>
      <w:tblPr>
        <w:tblStyle w:val="Table1"/>
        <w:tblW w:w="9271.0" w:type="dxa"/>
        <w:jc w:val="left"/>
        <w:tblInd w:w="324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606"/>
        <w:gridCol w:w="4665"/>
        <w:tblGridChange w:id="0">
          <w:tblGrid>
            <w:gridCol w:w="4606"/>
            <w:gridCol w:w="4665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Nazwa przedmiotu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Praktyczna nauka języka angielskiego - konwersacje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Nazwa przedmiotu w języku angielskim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Practical English - Conversation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Kierunek studiów 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Filologia angielska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Poziom studiów (I, II, jednolite magisterskie)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 studiów (stacjonarne, niestacjonarne)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niestacjonarne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Dyscyplina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172" w:right="0" w:hanging="17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językoznawstwo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172" w:right="0" w:hanging="17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literaturoznawstwo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Język wykładowy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Język angielski</w:t>
            </w:r>
          </w:p>
        </w:tc>
      </w:tr>
    </w:tbl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271.0" w:type="dxa"/>
        <w:jc w:val="left"/>
        <w:tblInd w:w="324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606"/>
        <w:gridCol w:w="4665"/>
        <w:tblGridChange w:id="0">
          <w:tblGrid>
            <w:gridCol w:w="4606"/>
            <w:gridCol w:w="4665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Koordynator przedmiotu/osoba odpowiedzialna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dr Mark Ó Fionnáin</w:t>
            </w:r>
          </w:p>
        </w:tc>
      </w:tr>
    </w:tbl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66.0" w:type="dxa"/>
        <w:jc w:val="left"/>
        <w:tblInd w:w="324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2253"/>
        <w:gridCol w:w="2252"/>
        <w:gridCol w:w="2252"/>
        <w:gridCol w:w="2309"/>
        <w:tblGridChange w:id="0">
          <w:tblGrid>
            <w:gridCol w:w="2253"/>
            <w:gridCol w:w="2252"/>
            <w:gridCol w:w="2252"/>
            <w:gridCol w:w="2309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 zajęć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semestr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Punkty ECTS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wykład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konwersatorium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ćwiczenia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36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III, IV</w:t>
            </w:r>
          </w:p>
        </w:tc>
        <w:tc>
          <w:tcPr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laboratorium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warsztaty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seminarium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proseminarium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lektorat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praktyki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zajęcia terenowe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pracownia dyplomowa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translatorium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wizyta studyjna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271.0" w:type="dxa"/>
        <w:jc w:val="left"/>
        <w:tblInd w:w="324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2234"/>
        <w:gridCol w:w="7037"/>
        <w:tblGridChange w:id="0">
          <w:tblGrid>
            <w:gridCol w:w="2234"/>
            <w:gridCol w:w="7037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Wymagania wstępne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 Znajomość języka angielskiego na poziomie co najmniej B1/B1+.</w:t>
            </w:r>
          </w:p>
        </w:tc>
      </w:tr>
    </w:tbl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16" w:right="0" w:hanging="21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b w:val="1"/>
          <w:color w:val="000000"/>
          <w:sz w:val="22"/>
          <w:szCs w:val="22"/>
          <w:u w:val="no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Cele kształcenia dla przedmiotu </w:t>
      </w:r>
      <w:r w:rsidDel="00000000" w:rsidR="00000000" w:rsidRPr="00000000">
        <w:rPr>
          <w:rtl w:val="0"/>
        </w:rPr>
      </w:r>
    </w:p>
    <w:tbl>
      <w:tblPr>
        <w:tblStyle w:val="Table5"/>
        <w:tblW w:w="9302.0" w:type="dxa"/>
        <w:jc w:val="left"/>
        <w:tblInd w:w="324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302"/>
        <w:tblGridChange w:id="0">
          <w:tblGrid>
            <w:gridCol w:w="9302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C1 Student potrafi wyrazić i uzasadnić własną opinię oraz przedstawić i skomentować opinię innych.</w:t>
            </w:r>
          </w:p>
        </w:tc>
      </w:tr>
      <w:tr>
        <w:trPr>
          <w:cantSplit w:val="0"/>
          <w:trHeight w:val="501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C2 Student potrafi zinterpretować (audio)wizualne materiały stymulacyjne, ale również ilustracje, tabele, cytaty itp.</w:t>
            </w:r>
          </w:p>
        </w:tc>
      </w:tr>
      <w:tr>
        <w:trPr>
          <w:cantSplit w:val="0"/>
          <w:trHeight w:val="501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C3 Student potrafi przeprowadzić dyskusję na temat obejrzanych fragmentów filmów, klipów, reklam oraz przeczytanych fragmentów artykułów o różnorodnej tematyce.</w:t>
            </w:r>
          </w:p>
        </w:tc>
      </w:tr>
      <w:tr>
        <w:trPr>
          <w:cantSplit w:val="0"/>
          <w:trHeight w:val="501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C4  Student potrafi wyrazić indywidualną opinię i wziąć udział w debacie na tematy przygotowane przez prowadzącego oraz te zaproponowane przez studentów.</w:t>
            </w:r>
          </w:p>
        </w:tc>
      </w:tr>
    </w:tbl>
    <w:p w:rsidR="00000000" w:rsidDel="00000000" w:rsidP="00000000" w:rsidRDefault="00000000" w:rsidRPr="00000000" w14:paraId="00000059">
      <w:pPr>
        <w:shd w:fill="ffffff" w:val="clea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Efekty uczenia się dla przedmiotu wraz z odniesieniem do efektów kierunkowych</w:t>
      </w:r>
      <w:r w:rsidDel="00000000" w:rsidR="00000000" w:rsidRPr="00000000">
        <w:rPr>
          <w:rtl w:val="0"/>
        </w:rPr>
      </w:r>
    </w:p>
    <w:tbl>
      <w:tblPr>
        <w:tblStyle w:val="Table6"/>
        <w:tblW w:w="8948.0" w:type="dxa"/>
        <w:jc w:val="left"/>
        <w:tblInd w:w="324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1060"/>
        <w:gridCol w:w="5743"/>
        <w:gridCol w:w="2145"/>
        <w:tblGridChange w:id="0">
          <w:tblGrid>
            <w:gridCol w:w="1060"/>
            <w:gridCol w:w="5743"/>
            <w:gridCol w:w="2145"/>
          </w:tblGrid>
        </w:tblGridChange>
      </w:tblGrid>
      <w:tr>
        <w:trPr>
          <w:cantSplit w:val="0"/>
          <w:trHeight w:val="684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Symbol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Opis efektu przedmiotowego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Odniesienie do efektu kierunkowego</w:t>
            </w:r>
          </w:p>
        </w:tc>
      </w:tr>
      <w:tr>
        <w:trPr>
          <w:cantSplit w:val="0"/>
          <w:trHeight w:val="261" w:hRule="atLeast"/>
          <w:tblHeader w:val="0"/>
        </w:trPr>
        <w:tc>
          <w:tcPr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WIEDZA</w:t>
            </w:r>
          </w:p>
        </w:tc>
      </w:tr>
      <w:tr>
        <w:trPr>
          <w:cantSplit w:val="0"/>
          <w:trHeight w:val="402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W_01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none"/>
                <w:rtl w:val="0"/>
              </w:rPr>
              <w:t xml:space="preserve">Student identyfikuje i porządkuje swoją wiedzę o aspektach kultur krajów anglojęzycznych.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K_W01</w:t>
            </w:r>
          </w:p>
        </w:tc>
      </w:tr>
      <w:tr>
        <w:trPr>
          <w:cantSplit w:val="0"/>
          <w:trHeight w:val="1148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W_02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rozróżnia, poprawnie rozpoznaje i ilustruje różne rejestry języka angielskiego i aspekty kompetencji językowej: wiedzę deklaratywną (gramatyka, leksyka) i proceduralną (czytanie, pisanie, mówienie, słuchanie).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none"/>
                <w:rtl w:val="0"/>
              </w:rPr>
              <w:t xml:space="preserve">K_W06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66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W_03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none"/>
                <w:rtl w:val="0"/>
              </w:rPr>
              <w:t xml:space="preserve">Student identyfikuje i porządkuje swoją wiedzę o aspektach kultur krajów anglojęzycznych, wykrywa i klasyfikuje główne koncepcje kultury anglojęzycznej.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none"/>
                <w:rtl w:val="0"/>
              </w:rPr>
              <w:t xml:space="preserve">K_W07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1" w:hRule="atLeast"/>
          <w:tblHeader w:val="0"/>
        </w:trPr>
        <w:tc>
          <w:tcPr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UMIEJĘTNOŚCI</w:t>
            </w:r>
          </w:p>
        </w:tc>
      </w:tr>
      <w:tr>
        <w:trPr>
          <w:cantSplit w:val="0"/>
          <w:trHeight w:val="732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U_01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none"/>
                <w:rtl w:val="0"/>
              </w:rPr>
              <w:t xml:space="preserve">Student opracowuje wystąpienia ustne w języku angielskim na wybrany temat na podstawie artykułów/filmów itd.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K_U03</w:t>
            </w:r>
          </w:p>
        </w:tc>
      </w:tr>
      <w:tr>
        <w:trPr>
          <w:cantSplit w:val="0"/>
          <w:trHeight w:val="627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U_02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none"/>
                <w:rtl w:val="0"/>
              </w:rPr>
              <w:t xml:space="preserve">Student prezentuje praktyczne i teoretyczne umiejętności językowe na poziomie C1, stosując różne rejestry języka.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none"/>
                <w:rtl w:val="0"/>
              </w:rPr>
              <w:t xml:space="preserve">K_U04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1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U_03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none"/>
                <w:rtl w:val="0"/>
              </w:rPr>
              <w:t xml:space="preserve">Student konstruuje poprawne logicznie i językowo wypowiedzi wyrażające własne myśli i poglądy a także streszcza opinie innych.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none"/>
                <w:rtl w:val="0"/>
              </w:rPr>
              <w:t xml:space="preserve">K_U05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7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U_04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none"/>
                <w:rtl w:val="0"/>
              </w:rPr>
              <w:t xml:space="preserve">Student przedstawia i ilustruje w języku angielskim argumenty na rzecz własnych i cudzych poglądów, analizuje je i formułuje wnioski.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none"/>
                <w:rtl w:val="0"/>
              </w:rPr>
              <w:t xml:space="preserve">K_U07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3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U_05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none"/>
                <w:rtl w:val="0"/>
              </w:rPr>
              <w:t xml:space="preserve">Student pracuje indywidualnie oraz w zespole, przyjmując różne role i współdziałając z innymi osobami.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none"/>
                <w:rtl w:val="0"/>
              </w:rPr>
              <w:t xml:space="preserve">K_U08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7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U_06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poszerza swoje kompetencje z zakresu różnorodności kulturowej krajów anglojęzycznych.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none"/>
                <w:rtl w:val="0"/>
              </w:rPr>
              <w:t xml:space="preserve">K_U09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1" w:hRule="atLeast"/>
          <w:tblHeader w:val="0"/>
        </w:trPr>
        <w:tc>
          <w:tcPr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KOMPETENCJE SPOŁECZNE</w:t>
            </w:r>
          </w:p>
        </w:tc>
      </w:tr>
      <w:tr>
        <w:trPr>
          <w:cantSplit w:val="0"/>
          <w:trHeight w:val="732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K_01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none"/>
                <w:rtl w:val="0"/>
              </w:rPr>
              <w:t xml:space="preserve">Student organizuje i planuje samodzielną pracę i korzysta z wytworów kultury anglojęzycznej.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K_K01</w:t>
            </w:r>
          </w:p>
        </w:tc>
      </w:tr>
      <w:tr>
        <w:trPr>
          <w:cantSplit w:val="0"/>
          <w:trHeight w:val="839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K_02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none"/>
                <w:rtl w:val="0"/>
              </w:rPr>
              <w:t xml:space="preserve">Student dyskutuje w grupie zachowując otwartość na opinie i poglądy innych dyskutantów.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none"/>
                <w:rtl w:val="0"/>
              </w:rPr>
              <w:t xml:space="preserve">K_K04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8">
      <w:pPr>
        <w:shd w:fill="ffffff" w:val="clear"/>
        <w:rPr>
          <w:b w:val="1"/>
          <w:color w:val="000000"/>
          <w:sz w:val="22"/>
          <w:szCs w:val="22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Opis przedmiotu/ treści programowe</w:t>
      </w:r>
      <w:r w:rsidDel="00000000" w:rsidR="00000000" w:rsidRPr="00000000">
        <w:rPr>
          <w:rtl w:val="0"/>
        </w:rPr>
      </w:r>
    </w:p>
    <w:tbl>
      <w:tblPr>
        <w:tblStyle w:val="Table7"/>
        <w:tblW w:w="9272.0" w:type="dxa"/>
        <w:jc w:val="left"/>
        <w:tblInd w:w="324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272"/>
        <w:tblGridChange w:id="0">
          <w:tblGrid>
            <w:gridCol w:w="9272"/>
          </w:tblGrid>
        </w:tblGridChange>
      </w:tblGrid>
      <w:tr>
        <w:trPr>
          <w:cantSplit w:val="0"/>
          <w:trHeight w:val="3004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 poszczególnych semestrach tematyka zajęć oscyluje zawsze wokół zagadnień bliskich studentom ze względu na ich istotność i/lub popularność w życiu codziennym. Nacisk położony jest na stopniowe poszerzanie zakresu problematyki omawianej w poszczególnych semestrach. I tak np. w semestrze pierwszym jednym z tematów zajęć jest pytanie “What lessons do we learn as children?”, który znajduje swoją pośrednią kontynuację w zajęciach poświęconych inteligencji emocjonalnej w semestrze VI.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Przykładowe tematy zajęć to: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Shopping, Heroism, Art and Culture, Science and Environment, Humans and Nature, Honesty and Dishonesty, Social Issues</w:t>
            </w:r>
          </w:p>
        </w:tc>
      </w:tr>
    </w:tbl>
    <w:p w:rsidR="00000000" w:rsidDel="00000000" w:rsidP="00000000" w:rsidRDefault="00000000" w:rsidRPr="00000000" w14:paraId="0000008D">
      <w:pPr>
        <w:shd w:fill="ffffff" w:val="clear"/>
        <w:rPr>
          <w:b w:val="1"/>
          <w:color w:val="000000"/>
          <w:sz w:val="22"/>
          <w:szCs w:val="22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Metody realizacji i weryfikacji efektów uczenia się</w:t>
      </w:r>
      <w:r w:rsidDel="00000000" w:rsidR="00000000" w:rsidRPr="00000000">
        <w:rPr>
          <w:rtl w:val="0"/>
        </w:rPr>
      </w:r>
    </w:p>
    <w:tbl>
      <w:tblPr>
        <w:tblStyle w:val="Table8"/>
        <w:tblW w:w="9125.0" w:type="dxa"/>
        <w:jc w:val="left"/>
        <w:tblInd w:w="324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1082"/>
        <w:gridCol w:w="2650"/>
        <w:gridCol w:w="2790"/>
        <w:gridCol w:w="2603"/>
        <w:tblGridChange w:id="0">
          <w:tblGrid>
            <w:gridCol w:w="1082"/>
            <w:gridCol w:w="2650"/>
            <w:gridCol w:w="2790"/>
            <w:gridCol w:w="2603"/>
          </w:tblGrid>
        </w:tblGridChange>
      </w:tblGrid>
      <w:tr>
        <w:trPr>
          <w:cantSplit w:val="0"/>
          <w:trHeight w:val="535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Symbol efektu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Metody dydaktyczne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(lista wyboru)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Metody weryfikacji</w:t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(lista wyboru)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Sposoby dokumentacji</w:t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(lista wyboru)</w:t>
            </w:r>
          </w:p>
        </w:tc>
      </w:tr>
      <w:tr>
        <w:trPr>
          <w:cantSplit w:val="0"/>
          <w:trHeight w:val="261" w:hRule="atLeast"/>
          <w:tblHeader w:val="0"/>
        </w:trPr>
        <w:tc>
          <w:tcPr>
            <w:gridSpan w:val="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WIEDZA</w:t>
            </w:r>
          </w:p>
        </w:tc>
      </w:tr>
      <w:tr>
        <w:trPr>
          <w:cantSplit w:val="0"/>
          <w:trHeight w:val="1461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W_01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Dyskusja / Praca z tekstem oraz materiałami audiowizualnymi 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Obserwacja i informacja zwrotna od prowadzącego / Odpowiedź ustna i informacja zwrotna od prowadzącego / Egzamin ustny na koniec roku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Notatki w arkuszu ocen prowadzącego / Wykonane i sprawdzone ćwiczenia / Karta oceny z egzaminu</w:t>
            </w:r>
          </w:p>
        </w:tc>
      </w:tr>
      <w:tr>
        <w:trPr>
          <w:cantSplit w:val="0"/>
          <w:trHeight w:val="1476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W_02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Dyskusja / Praca z tekstem oraz materiałami audiowizualnymi 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Obserwacja i informacja zwrotna od prowadzącego / Odpowiedź ustna i informacja zwrotna od prowadzącego / Egzamin ustny na koniec roku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Notatki w arkuszu ocen prowadzącego / Wykonane i sprawdzone ćwiczenia / Karta oceny z egzaminu</w:t>
            </w:r>
          </w:p>
        </w:tc>
      </w:tr>
      <w:tr>
        <w:trPr>
          <w:cantSplit w:val="0"/>
          <w:trHeight w:val="1543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W_03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Dyskusja / Praca z tekstem oraz materiałami audiowizualnymi 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Obserwacja i informacja zwrotna od prowadzącego / Odpowiedź ustna i informacja zwrotna od prowadzącego / Egzamin ustny na koniec roku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Notatki w arkuszu ocen prowadzącego / Wykonane i sprawdzone ćwiczenia / Karta oceny z egzaminu</w:t>
            </w:r>
          </w:p>
        </w:tc>
      </w:tr>
      <w:tr>
        <w:trPr>
          <w:cantSplit w:val="0"/>
          <w:trHeight w:val="261" w:hRule="atLeast"/>
          <w:tblHeader w:val="0"/>
        </w:trPr>
        <w:tc>
          <w:tcPr>
            <w:gridSpan w:val="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UMIEJĘTNOŚCI</w:t>
            </w:r>
          </w:p>
        </w:tc>
      </w:tr>
      <w:tr>
        <w:trPr>
          <w:cantSplit w:val="0"/>
          <w:trHeight w:val="1613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U_01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Dyskusja / Praca zespołowa / Praca w grupie / Ćwiczenia praktyczne / Burza mózgów / Gra dydaktyczna / Odgrywanie ról (drama) / Systematyczna powtórka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Obserwacja i informacja zwrotna od prowadzącego / Odpowiedź ustna w czasie zajęć sprawdzająca wiedzę praktyczną / Egzamin ustny na koniec roku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Notatki w arkuszu ocen prowadzącego / Informacja zwrotna / Karta oceny z egzaminu</w:t>
            </w:r>
          </w:p>
        </w:tc>
      </w:tr>
      <w:tr>
        <w:trPr>
          <w:cantSplit w:val="0"/>
          <w:trHeight w:val="1382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U_02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Dyskusja / Praca zespołowa / Praca w grupie / Ćwiczenia praktyczne / Burza mózgów / Gra dydaktyczna / Odgrywanie ról (drama) / Systematyczna powtórka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Obserwacja i informacja zwrotna od prowadzącego / Odpowiedź ustna w czasie zajęć sprawdzająca wiedzę praktyczną / Egzamin ustny na koniec roku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Notatki w arkuszu ocen prowadzącego / Informacja zwrotna / Karta oceny z egzaminu</w:t>
            </w:r>
          </w:p>
        </w:tc>
      </w:tr>
      <w:tr>
        <w:trPr>
          <w:cantSplit w:val="0"/>
          <w:trHeight w:val="1534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U_03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Dyskusja / Praca zespołowa / Praca w grupie / Ćwiczenia praktyczne / Burza mózgów / Gra dydaktyczna / Odgrywanie ról (drama) / Systematyczna powtórka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Obserwacja i informacja zwrotna od prowadzącego / Odpowiedź ustna w czasie zajęć sprawdzająca wiedzę praktyczną / Egzamin ustny na koniec roku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Notatki w arkuszu ocen prowadzącego / Informacja zwrotna / Karta oceny z egzaminu</w:t>
            </w:r>
          </w:p>
        </w:tc>
      </w:tr>
      <w:tr>
        <w:trPr>
          <w:cantSplit w:val="0"/>
          <w:trHeight w:val="1530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U_04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Dyskusja / Praca zespołowa / Praca w grupie / Ćwiczenia praktyczne / Burza mózgów / Gra dydaktyczna / Odgrywanie ról (drama) / Systematyczna powtórka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Obserwacja i informacja zwrotna od prowadzącego / Odpowiedź ustna w czasie zajęć sprawdzająca wiedzę praktyczną / Egzamin ustny na koniec roku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Notatki w arkuszu ocen prowadzącego / Informacja zwrotna / Karta oceny z egzaminu</w:t>
            </w:r>
          </w:p>
        </w:tc>
      </w:tr>
      <w:tr>
        <w:trPr>
          <w:cantSplit w:val="0"/>
          <w:trHeight w:val="1540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U_05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Dyskusja / Praca zespołowa / Praca w grupie / Ćwiczenia praktyczne / Burza mózgów / Gra dydaktyczna / Odgrywanie ról (drama) / Systematyczna powtórka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Obserwacja i informacja zwrotna od prowadzącego / Odpowiedź ustna w czasie zajęć sprawdzająca wiedzę praktyczną / Egzamin ustny na koniec roku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Notatki w arkuszu ocen prowadzącego / Informacja zwrotna / Karta oceny z egzaminu</w:t>
            </w:r>
          </w:p>
        </w:tc>
      </w:tr>
      <w:tr>
        <w:trPr>
          <w:cantSplit w:val="0"/>
          <w:trHeight w:val="261" w:hRule="atLeast"/>
          <w:tblHeader w:val="0"/>
        </w:trPr>
        <w:tc>
          <w:tcPr>
            <w:gridSpan w:val="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KOMPETENCJE SPOŁECZNE</w:t>
            </w:r>
          </w:p>
        </w:tc>
      </w:tr>
      <w:tr>
        <w:trPr>
          <w:cantSplit w:val="0"/>
          <w:trHeight w:val="819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K_01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Dyskusja / Praca w grupach w różnych rolach / Praca w parach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Obserwacja / Odpowiedź ustna i informacja zwrotna od prowadzącego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Informacja zwrotna / Notatki w arkuszu ocen prowadzącego</w:t>
            </w:r>
          </w:p>
        </w:tc>
      </w:tr>
      <w:tr>
        <w:trPr>
          <w:cantSplit w:val="0"/>
          <w:trHeight w:val="981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K_02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Dyskusja / Praca w grupach w różnych rolach / Praca w parach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Obserwacja / Odpowiedź ustna i informacja zwrotna od prowadzącego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Informacja zwrotna / Notatki w arkuszu ocen prowadzącego</w:t>
            </w:r>
          </w:p>
        </w:tc>
      </w:tr>
    </w:tbl>
    <w:p w:rsidR="00000000" w:rsidDel="00000000" w:rsidP="00000000" w:rsidRDefault="00000000" w:rsidRPr="00000000" w14:paraId="000000C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10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Kryteria oceny, wagi…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rPr>
          <w:color w:val="000000"/>
          <w:sz w:val="22"/>
          <w:szCs w:val="22"/>
          <w:u w:val="none"/>
        </w:rPr>
      </w:pPr>
      <w:r w:rsidDel="00000000" w:rsidR="00000000" w:rsidRPr="00000000">
        <w:rPr>
          <w:color w:val="000000"/>
          <w:sz w:val="22"/>
          <w:szCs w:val="22"/>
          <w:highlight w:val="white"/>
          <w:u w:val="none"/>
          <w:rtl w:val="0"/>
        </w:rPr>
        <w:t xml:space="preserve">Podstawowe kryterium oceny to aktywne uczestnictwo w zajęciach oraz zaliczenie wszystkich wymaganych sprawdzianów ustnych (co najmniej po dwa na semestr). Ostatecznym sprawdzianem jest egzamin ustny na koniec każdego roku studiów. W końcowej ocenie brany pod uwagę jest również frekwencja – możliwa 1 nieobecność nieusprawiedliwiona, natomiast każda następna skutkuje obniżeniem oceny końcowej o pół stopnia.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rPr>
          <w:color w:val="000000"/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 Studenci oceniani są według następującej skali: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shd w:fill="ffffff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shd w:fill="ffffff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5,0</w:t>
        <w:tab/>
        <w:t xml:space="preserve">93–100%</w:t>
      </w:r>
    </w:p>
    <w:p w:rsidR="00000000" w:rsidDel="00000000" w:rsidP="00000000" w:rsidRDefault="00000000" w:rsidRPr="00000000" w14:paraId="000000D1">
      <w:pPr>
        <w:shd w:fill="ffffff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4,5</w:t>
        <w:tab/>
        <w:t xml:space="preserve">85–92%</w:t>
      </w:r>
    </w:p>
    <w:p w:rsidR="00000000" w:rsidDel="00000000" w:rsidP="00000000" w:rsidRDefault="00000000" w:rsidRPr="00000000" w14:paraId="000000D2">
      <w:pPr>
        <w:shd w:fill="ffffff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4</w:t>
        <w:tab/>
        <w:t xml:space="preserve">77–84%</w:t>
      </w:r>
    </w:p>
    <w:p w:rsidR="00000000" w:rsidDel="00000000" w:rsidP="00000000" w:rsidRDefault="00000000" w:rsidRPr="00000000" w14:paraId="000000D3">
      <w:pPr>
        <w:shd w:fill="ffffff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3,5</w:t>
        <w:tab/>
        <w:t xml:space="preserve">69–76%</w:t>
      </w:r>
    </w:p>
    <w:p w:rsidR="00000000" w:rsidDel="00000000" w:rsidP="00000000" w:rsidRDefault="00000000" w:rsidRPr="00000000" w14:paraId="000000D4">
      <w:pPr>
        <w:shd w:fill="ffffff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3 </w:t>
        <w:tab/>
        <w:t xml:space="preserve">60–68%</w:t>
      </w:r>
    </w:p>
    <w:p w:rsidR="00000000" w:rsidDel="00000000" w:rsidP="00000000" w:rsidRDefault="00000000" w:rsidRPr="00000000" w14:paraId="000000D5">
      <w:pPr>
        <w:shd w:fill="ffffff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2</w:t>
        <w:tab/>
        <w:t xml:space="preserve">0–59%</w:t>
      </w:r>
    </w:p>
    <w:p w:rsidR="00000000" w:rsidDel="00000000" w:rsidP="00000000" w:rsidRDefault="00000000" w:rsidRPr="00000000" w14:paraId="000000D6">
      <w:pPr>
        <w:shd w:fill="ffffff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200" w:before="0" w:line="288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Obciążenie pracą studenta</w:t>
      </w:r>
    </w:p>
    <w:tbl>
      <w:tblPr>
        <w:tblStyle w:val="Table9"/>
        <w:tblW w:w="9271.0" w:type="dxa"/>
        <w:jc w:val="left"/>
        <w:tblInd w:w="479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606"/>
        <w:gridCol w:w="4665"/>
        <w:tblGridChange w:id="0">
          <w:tblGrid>
            <w:gridCol w:w="4606"/>
            <w:gridCol w:w="4665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 aktywności studenta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 kontaktowych z nauczycielem 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36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 indywidualnej pracy studenta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89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E">
      <w:pPr>
        <w:shd w:fill="ffffff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200" w:before="0" w:line="288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Literatura</w:t>
      </w:r>
    </w:p>
    <w:tbl>
      <w:tblPr>
        <w:tblStyle w:val="Table10"/>
        <w:tblW w:w="9272.0" w:type="dxa"/>
        <w:jc w:val="left"/>
        <w:tblInd w:w="324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272"/>
        <w:tblGridChange w:id="0">
          <w:tblGrid>
            <w:gridCol w:w="9272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Literatura podstawowa</w:t>
            </w:r>
          </w:p>
        </w:tc>
      </w:tr>
      <w:tr>
        <w:trPr>
          <w:cantSplit w:val="0"/>
          <w:trHeight w:val="501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Materiały własne prowadzącego oparte na zróżnicowanych źródłach tekstowych oraz audiowizualnych.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Literatura uzupełniająca</w:t>
            </w:r>
          </w:p>
        </w:tc>
      </w:tr>
      <w:tr>
        <w:trPr>
          <w:cantSplit w:val="0"/>
          <w:trHeight w:val="1349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Daise, Debra, Charl Norloff, Paul Carne.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Q: Skills for Success 4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Oxford University Press.</w:t>
            </w:r>
          </w:p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Gammidge, Mick.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Speaking Extra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Cambridge University Press. </w:t>
              <w:br w:type="textWrapping"/>
              <w:t xml:space="preserve">MacAndrew, Richard, Ron Martinez.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Instant Discussions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Thomson. </w:t>
            </w:r>
          </w:p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MacAndrew, Richard, Ron Martinez.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Taboos and Issues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Thomson Heinle. </w:t>
              <w:br w:type="textWrapping"/>
              <w:t xml:space="preserve">Morgan, John, Mario Rinvolucri.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Q-Book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Longman.</w:t>
            </w:r>
          </w:p>
        </w:tc>
      </w:tr>
    </w:tbl>
    <w:p w:rsidR="00000000" w:rsidDel="00000000" w:rsidP="00000000" w:rsidRDefault="00000000" w:rsidRPr="00000000" w14:paraId="000000E6">
      <w:pPr>
        <w:shd w:fill="ffffff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uto"/>
        <w:rPr/>
      </w:pPr>
      <w:bookmarkStart w:colFirst="0" w:colLast="0" w:name="_heading=h.30j0zll" w:id="0"/>
      <w:bookmarkEnd w:id="0"/>
      <w:r w:rsidDel="00000000" w:rsidR="00000000" w:rsidRPr="00000000">
        <w:rPr>
          <w:rtl w:val="0"/>
        </w:rPr>
      </w:r>
    </w:p>
    <w:sectPr>
      <w:pgSz w:h="16840" w:w="11900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172" w:hanging="172"/>
      </w:pPr>
      <w:rPr>
        <w:rFonts w:ascii="Trebuchet MS" w:cs="Trebuchet MS" w:eastAsia="Trebuchet MS" w:hAnsi="Trebuchet MS"/>
        <w:b w:val="0"/>
        <w:i w:val="1"/>
        <w:smallCaps w:val="0"/>
        <w:strike w:val="0"/>
        <w:shd w:fill="auto" w:val="clear"/>
        <w:vertAlign w:val="baseline"/>
      </w:rPr>
    </w:lvl>
    <w:lvl w:ilvl="1">
      <w:start w:val="1"/>
      <w:numFmt w:val="bullet"/>
      <w:lvlText w:val="-"/>
      <w:lvlJc w:val="left"/>
      <w:pPr>
        <w:ind w:left="772" w:hanging="172"/>
      </w:pPr>
      <w:rPr>
        <w:rFonts w:ascii="Trebuchet MS" w:cs="Trebuchet MS" w:eastAsia="Trebuchet MS" w:hAnsi="Trebuchet MS"/>
        <w:b w:val="0"/>
        <w:i w:val="1"/>
        <w:smallCaps w:val="0"/>
        <w:strike w:val="0"/>
        <w:sz w:val="24"/>
        <w:szCs w:val="24"/>
        <w:shd w:fill="auto" w:val="clear"/>
        <w:vertAlign w:val="baseline"/>
      </w:rPr>
    </w:lvl>
    <w:lvl w:ilvl="2">
      <w:start w:val="1"/>
      <w:numFmt w:val="bullet"/>
      <w:lvlText w:val="-"/>
      <w:lvlJc w:val="left"/>
      <w:pPr>
        <w:ind w:left="1372" w:hanging="172.00000000000023"/>
      </w:pPr>
      <w:rPr>
        <w:rFonts w:ascii="Trebuchet MS" w:cs="Trebuchet MS" w:eastAsia="Trebuchet MS" w:hAnsi="Trebuchet MS"/>
        <w:b w:val="0"/>
        <w:i w:val="1"/>
        <w:smallCaps w:val="0"/>
        <w:strike w:val="0"/>
        <w:sz w:val="24"/>
        <w:szCs w:val="24"/>
        <w:shd w:fill="auto" w:val="clear"/>
        <w:vertAlign w:val="baseline"/>
      </w:rPr>
    </w:lvl>
    <w:lvl w:ilvl="3">
      <w:start w:val="1"/>
      <w:numFmt w:val="bullet"/>
      <w:lvlText w:val="-"/>
      <w:lvlJc w:val="left"/>
      <w:pPr>
        <w:ind w:left="1972" w:hanging="172"/>
      </w:pPr>
      <w:rPr>
        <w:rFonts w:ascii="Trebuchet MS" w:cs="Trebuchet MS" w:eastAsia="Trebuchet MS" w:hAnsi="Trebuchet MS"/>
        <w:b w:val="0"/>
        <w:i w:val="1"/>
        <w:smallCaps w:val="0"/>
        <w:strike w:val="0"/>
        <w:sz w:val="24"/>
        <w:szCs w:val="24"/>
        <w:shd w:fill="auto" w:val="clear"/>
        <w:vertAlign w:val="baseline"/>
      </w:rPr>
    </w:lvl>
    <w:lvl w:ilvl="4">
      <w:start w:val="1"/>
      <w:numFmt w:val="bullet"/>
      <w:lvlText w:val="-"/>
      <w:lvlJc w:val="left"/>
      <w:pPr>
        <w:ind w:left="2572" w:hanging="172"/>
      </w:pPr>
      <w:rPr>
        <w:rFonts w:ascii="Trebuchet MS" w:cs="Trebuchet MS" w:eastAsia="Trebuchet MS" w:hAnsi="Trebuchet MS"/>
        <w:b w:val="0"/>
        <w:i w:val="1"/>
        <w:smallCaps w:val="0"/>
        <w:strike w:val="0"/>
        <w:sz w:val="24"/>
        <w:szCs w:val="24"/>
        <w:shd w:fill="auto" w:val="clear"/>
        <w:vertAlign w:val="baseline"/>
      </w:rPr>
    </w:lvl>
    <w:lvl w:ilvl="5">
      <w:start w:val="1"/>
      <w:numFmt w:val="bullet"/>
      <w:lvlText w:val="-"/>
      <w:lvlJc w:val="left"/>
      <w:pPr>
        <w:ind w:left="3172" w:hanging="172"/>
      </w:pPr>
      <w:rPr>
        <w:rFonts w:ascii="Trebuchet MS" w:cs="Trebuchet MS" w:eastAsia="Trebuchet MS" w:hAnsi="Trebuchet MS"/>
        <w:b w:val="0"/>
        <w:i w:val="1"/>
        <w:smallCaps w:val="0"/>
        <w:strike w:val="0"/>
        <w:sz w:val="24"/>
        <w:szCs w:val="24"/>
        <w:shd w:fill="auto" w:val="clear"/>
        <w:vertAlign w:val="baseline"/>
      </w:rPr>
    </w:lvl>
    <w:lvl w:ilvl="6">
      <w:start w:val="1"/>
      <w:numFmt w:val="bullet"/>
      <w:lvlText w:val="-"/>
      <w:lvlJc w:val="left"/>
      <w:pPr>
        <w:ind w:left="3772" w:hanging="172"/>
      </w:pPr>
      <w:rPr>
        <w:rFonts w:ascii="Trebuchet MS" w:cs="Trebuchet MS" w:eastAsia="Trebuchet MS" w:hAnsi="Trebuchet MS"/>
        <w:b w:val="0"/>
        <w:i w:val="1"/>
        <w:smallCaps w:val="0"/>
        <w:strike w:val="0"/>
        <w:sz w:val="24"/>
        <w:szCs w:val="24"/>
        <w:shd w:fill="auto" w:val="clear"/>
        <w:vertAlign w:val="baseline"/>
      </w:rPr>
    </w:lvl>
    <w:lvl w:ilvl="7">
      <w:start w:val="1"/>
      <w:numFmt w:val="bullet"/>
      <w:lvlText w:val="-"/>
      <w:lvlJc w:val="left"/>
      <w:pPr>
        <w:ind w:left="4372" w:hanging="172"/>
      </w:pPr>
      <w:rPr>
        <w:rFonts w:ascii="Trebuchet MS" w:cs="Trebuchet MS" w:eastAsia="Trebuchet MS" w:hAnsi="Trebuchet MS"/>
        <w:b w:val="0"/>
        <w:i w:val="1"/>
        <w:smallCaps w:val="0"/>
        <w:strike w:val="0"/>
        <w:sz w:val="24"/>
        <w:szCs w:val="24"/>
        <w:shd w:fill="auto" w:val="clear"/>
        <w:vertAlign w:val="baseline"/>
      </w:rPr>
    </w:lvl>
    <w:lvl w:ilvl="8">
      <w:start w:val="1"/>
      <w:numFmt w:val="bullet"/>
      <w:lvlText w:val="-"/>
      <w:lvlJc w:val="left"/>
      <w:pPr>
        <w:ind w:left="4956" w:hanging="156"/>
      </w:pPr>
      <w:rPr>
        <w:rFonts w:ascii="Trebuchet MS" w:cs="Trebuchet MS" w:eastAsia="Trebuchet MS" w:hAnsi="Trebuchet MS"/>
        <w:b w:val="0"/>
        <w:i w:val="1"/>
        <w:smallCaps w:val="0"/>
        <w:strike w:val="0"/>
        <w:sz w:val="24"/>
        <w:szCs w:val="24"/>
        <w:shd w:fill="auto" w:val="clear"/>
        <w:vertAlign w:val="baseline"/>
      </w:rPr>
    </w:lvl>
  </w:abstractNum>
  <w:abstractNum w:abstractNumId="2">
    <w:lvl w:ilvl="0">
      <w:start w:val="2"/>
      <w:numFmt w:val="upperRoman"/>
      <w:lvlText w:val="%1."/>
      <w:lvlJc w:val="left"/>
      <w:pPr>
        <w:ind w:left="1080" w:hanging="720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31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595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744" w:hanging="559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shd w:fill="auto" w:val="clear"/>
        <w:vertAlign w:val="baseline"/>
      </w:rPr>
    </w:lvl>
  </w:abstractNum>
  <w:abstractNum w:abstractNumId="3">
    <w:lvl w:ilvl="0">
      <w:start w:val="3"/>
      <w:numFmt w:val="upperRoman"/>
      <w:lvlText w:val="%1."/>
      <w:lvlJc w:val="left"/>
      <w:pPr>
        <w:ind w:left="1080" w:hanging="720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31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595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744" w:hanging="559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shd w:fill="auto" w:val="clear"/>
        <w:vertAlign w:val="baseline"/>
      </w:rPr>
    </w:lvl>
  </w:abstractNum>
  <w:abstractNum w:abstractNumId="4">
    <w:lvl w:ilvl="0">
      <w:start w:val="4"/>
      <w:numFmt w:val="upperRoman"/>
      <w:lvlText w:val="%1."/>
      <w:lvlJc w:val="left"/>
      <w:pPr>
        <w:ind w:left="1080" w:hanging="720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31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595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744" w:hanging="559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shd w:fill="auto" w:val="clear"/>
        <w:vertAlign w:val="baseline"/>
      </w:rPr>
    </w:lvl>
  </w:abstractNum>
  <w:abstractNum w:abstractNumId="5">
    <w:lvl w:ilvl="0">
      <w:start w:val="5"/>
      <w:numFmt w:val="upperRoman"/>
      <w:lvlText w:val="%1."/>
      <w:lvlJc w:val="left"/>
      <w:pPr>
        <w:ind w:left="1080" w:hanging="720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31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595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744" w:hanging="559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shd w:fill="auto" w:val="clear"/>
        <w:vertAlign w:val="baseline"/>
      </w:rPr>
    </w:lvl>
  </w:abstractNum>
  <w:abstractNum w:abstractNumId="6">
    <w:lvl w:ilvl="0">
      <w:start w:val="6"/>
      <w:numFmt w:val="upperRoman"/>
      <w:lvlText w:val="%1."/>
      <w:lvlJc w:val="left"/>
      <w:pPr>
        <w:ind w:left="1080" w:hanging="720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31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595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744" w:hanging="559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shd w:fill="auto" w:val="clear"/>
        <w:vertAlign w:val="baseline"/>
      </w:rPr>
    </w:lvl>
  </w:abstractNum>
  <w:abstractNum w:abstractNumId="7"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31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595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744" w:hanging="559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color w:val="00000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rPr>
      <w:rFonts w:eastAsia="Times New Roman"/>
      <w:color w:val="00000a"/>
      <w:kern w:val="2"/>
      <w:sz w:val="24"/>
      <w:szCs w:val="24"/>
      <w:u w:color="00000a"/>
      <w:lang w:val="en-US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character" w:styleId="Hipercze">
    <w:name w:val="Hyperlink"/>
    <w:rPr>
      <w:u w:val="single"/>
    </w:rPr>
  </w:style>
  <w:style w:type="table" w:styleId="TableNormal" w:customStyle="1">
    <w:name w:val="Table Normal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agwek1" w:customStyle="1">
    <w:name w:val="Nagłówek1"/>
    <w:pPr>
      <w:tabs>
        <w:tab w:val="center" w:pos="4536"/>
        <w:tab w:val="right" w:pos="9072"/>
      </w:tabs>
    </w:pPr>
    <w:rPr>
      <w:rFonts w:ascii="Calibri" w:cs="Calibri" w:eastAsia="Calibri" w:hAnsi="Calibri"/>
      <w:color w:val="000000"/>
      <w:kern w:val="2"/>
      <w:sz w:val="22"/>
      <w:szCs w:val="22"/>
      <w:u w:color="000000"/>
      <w:lang w:val="en-US"/>
    </w:rPr>
  </w:style>
  <w:style w:type="paragraph" w:styleId="HeaderFooter" w:customStyle="1">
    <w:name w:val="Header &amp; Footer"/>
    <w:pPr>
      <w:tabs>
        <w:tab w:val="right" w:pos="9020"/>
      </w:tabs>
    </w:pPr>
    <w:rPr>
      <w:rFonts w:ascii="Helvetica Neue" w:cs="Helvetica Neue" w:eastAsia="Helvetica Neue" w:hAnsi="Helvetica Neue"/>
      <w:color w:val="000000"/>
      <w:sz w:val="24"/>
      <w:szCs w:val="24"/>
    </w:rPr>
  </w:style>
  <w:style w:type="paragraph" w:styleId="Normal0" w:customStyle="1">
    <w:name w:val="Normal_0"/>
    <w:pPr>
      <w:spacing w:after="200" w:line="276" w:lineRule="auto"/>
    </w:pPr>
    <w:rPr>
      <w:rFonts w:ascii="Calibri" w:cs="Calibri" w:eastAsia="Calibri" w:hAnsi="Calibri"/>
      <w:color w:val="000000"/>
      <w:kern w:val="2"/>
      <w:sz w:val="22"/>
      <w:szCs w:val="22"/>
      <w:u w:color="000000"/>
      <w:lang w:val="en-US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cs="Calibri" w:eastAsia="Calibri" w:hAnsi="Calibri"/>
      <w:color w:val="000000"/>
      <w:kern w:val="2"/>
      <w:sz w:val="22"/>
      <w:szCs w:val="22"/>
      <w:u w:color="000000"/>
      <w:lang w:val="en-US"/>
    </w:rPr>
  </w:style>
  <w:style w:type="numbering" w:styleId="ImportedStyle1" w:customStyle="1">
    <w:name w:val="Imported Style 1"/>
    <w:pPr>
      <w:numPr>
        <w:numId w:val="1"/>
      </w:numPr>
    </w:pPr>
  </w:style>
  <w:style w:type="paragraph" w:styleId="Normalny1" w:customStyle="1">
    <w:name w:val="Normalny1"/>
    <w:rPr>
      <w:rFonts w:cs="Arial Unicode MS"/>
      <w:color w:val="000000"/>
      <w:kern w:val="2"/>
      <w:sz w:val="24"/>
      <w:szCs w:val="24"/>
      <w:u w:color="000000"/>
      <w:lang w:val="en-US"/>
    </w:rPr>
  </w:style>
  <w:style w:type="paragraph" w:styleId="BodyA" w:customStyle="1">
    <w:name w:val="Body A"/>
    <w:rPr>
      <w:rFonts w:ascii="Helvetica Neue" w:cs="Arial Unicode MS" w:hAnsi="Helvetica Neue"/>
      <w:color w:val="000000"/>
      <w:sz w:val="22"/>
      <w:szCs w:val="22"/>
      <w:u w:color="000000"/>
    </w:rPr>
  </w:style>
  <w:style w:type="paragraph" w:styleId="Nagwek">
    <w:name w:val="header"/>
    <w:basedOn w:val="Normalny"/>
    <w:link w:val="NagwekZnak"/>
    <w:uiPriority w:val="99"/>
    <w:unhideWhenUsed w:val="1"/>
    <w:rsid w:val="00E91EA8"/>
    <w:pPr>
      <w:tabs>
        <w:tab w:val="center" w:pos="4536"/>
        <w:tab w:val="right" w:pos="9072"/>
      </w:tabs>
    </w:pPr>
  </w:style>
  <w:style w:type="character" w:styleId="NagwekZnak" w:customStyle="1">
    <w:name w:val="Nagłówek Znak"/>
    <w:basedOn w:val="Domylnaczcionkaakapitu"/>
    <w:link w:val="Nagwek"/>
    <w:uiPriority w:val="99"/>
    <w:rsid w:val="00E91EA8"/>
    <w:rPr>
      <w:rFonts w:eastAsia="Times New Roman"/>
      <w:color w:val="00000a"/>
      <w:kern w:val="2"/>
      <w:sz w:val="24"/>
      <w:szCs w:val="24"/>
      <w:u w:color="00000a"/>
      <w:lang w:val="en-US"/>
    </w:rPr>
  </w:style>
  <w:style w:type="paragraph" w:styleId="Stopka">
    <w:name w:val="footer"/>
    <w:basedOn w:val="Normalny"/>
    <w:link w:val="StopkaZnak"/>
    <w:uiPriority w:val="99"/>
    <w:unhideWhenUsed w:val="1"/>
    <w:rsid w:val="00E91EA8"/>
    <w:pPr>
      <w:tabs>
        <w:tab w:val="center" w:pos="4536"/>
        <w:tab w:val="right" w:pos="9072"/>
      </w:tabs>
    </w:pPr>
  </w:style>
  <w:style w:type="character" w:styleId="StopkaZnak" w:customStyle="1">
    <w:name w:val="Stopka Znak"/>
    <w:basedOn w:val="Domylnaczcionkaakapitu"/>
    <w:link w:val="Stopka"/>
    <w:uiPriority w:val="99"/>
    <w:rsid w:val="00E91EA8"/>
    <w:rPr>
      <w:rFonts w:eastAsia="Times New Roman"/>
      <w:color w:val="00000a"/>
      <w:kern w:val="2"/>
      <w:sz w:val="24"/>
      <w:szCs w:val="24"/>
      <w:u w:color="00000a"/>
      <w:lang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YdlvA+xUIZ/G+r3AjBrPdQAk1Q==">AMUW2mVsYb6MipDj85Bm1gdKRQYYbMht+A7ByM2HYI4vgDTBY2SoN6BO0OKqQZrtug7Z1QQ9M5IGfh8mPXO77U4FcuBksVtNgzkA75kN3hAY4AUrDMBY73Ov/ZuNUNkl+Mb3jN6TG3dC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2021-09-27T10:34:00Z</dcterms:created>
  <dc:creator>Krzysztof Skórski</dc:creator>
</cp:coreProperties>
</file>