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b w:val="1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324.0" w:type="dxa"/>
        <w:tblLayout w:type="fixed"/>
        <w:tblLook w:val="0000"/>
      </w:tblPr>
      <w:tblGrid>
        <w:gridCol w:w="4528"/>
        <w:gridCol w:w="4527"/>
        <w:tblGridChange w:id="0">
          <w:tblGrid>
            <w:gridCol w:w="4528"/>
            <w:gridCol w:w="4527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tl w:val="0"/>
              </w:rPr>
              <w:t xml:space="preserve">Praktyczna Nauka Języka Angielskiego – praca z tekstem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Practical English – Text Analysis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Stacjonarne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200" w:before="0" w:lineRule="auto"/>
        <w:ind w:left="1296" w:hanging="93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before="0" w:lineRule="auto"/>
        <w:ind w:left="1253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324.0" w:type="dxa"/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Dr Kamil Rusiłowicz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200" w:before="0" w:lineRule="auto"/>
        <w:ind w:left="216" w:right="0" w:hanging="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1.000000000002" w:type="dxa"/>
        <w:jc w:val="left"/>
        <w:tblInd w:w="324.0" w:type="dxa"/>
        <w:tblLayout w:type="fixed"/>
        <w:tblLook w:val="0000"/>
      </w:tblPr>
      <w:tblGrid>
        <w:gridCol w:w="2303"/>
        <w:gridCol w:w="2303"/>
        <w:gridCol w:w="2303"/>
        <w:gridCol w:w="2302"/>
        <w:tblGridChange w:id="0">
          <w:tblGrid>
            <w:gridCol w:w="2303"/>
            <w:gridCol w:w="2303"/>
            <w:gridCol w:w="2303"/>
            <w:gridCol w:w="2302"/>
          </w:tblGrid>
        </w:tblGridChange>
      </w:tblGrid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200"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 zajęć </w:t>
            </w:r>
            <w:r w:rsidDel="00000000" w:rsidR="00000000" w:rsidRPr="00000000">
              <w:rPr>
                <w:i w:val="1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Punkty ECTS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III, 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ind w:left="216" w:right="0" w:hanging="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5.0" w:type="dxa"/>
        <w:jc w:val="left"/>
        <w:tblInd w:w="324.0" w:type="dxa"/>
        <w:tblLayout w:type="fixed"/>
        <w:tblLook w:val="0000"/>
      </w:tblPr>
      <w:tblGrid>
        <w:gridCol w:w="2199"/>
        <w:gridCol w:w="6866"/>
        <w:tblGridChange w:id="0">
          <w:tblGrid>
            <w:gridCol w:w="2199"/>
            <w:gridCol w:w="6866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Poziom znajomości języka angielskiego w I semestrze przynajmniej B2. Znajomość zasad prawidłowej konstrukcji paragrafu. Znajomość i umiejętność zastosowania szerokiej gamy linking phrases.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056.0" w:type="dxa"/>
        <w:jc w:val="left"/>
        <w:tblInd w:w="324.0" w:type="dxa"/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C1 Umiejętność poprawnej konstrukcji różnych typów eseju z naciskiem na ich spójność, logikę wywodu, oraz styl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C2 Umiejętność czytania ze zrozumieniem tekstu o charakterze ogólnym wraz z umiejętnością wykorzystania zawartych w tekście informacji (streszczenie, esej)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C3 Umiejętność streszczenia tekstu o charakterze nieakademickim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C4 </w:t>
            </w:r>
            <w:r w:rsidDel="00000000" w:rsidR="00000000" w:rsidRPr="00000000">
              <w:rPr>
                <w:rtl w:val="0"/>
              </w:rPr>
              <w:t xml:space="preserve">Umiejętność rozróżniania stylu formalnego i kolokwialnego współczesnej angielszczyzny oraz umiejętności stosowania słownictwa oraz struktur gramatycznych właściwych dla danego stylu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C5 Opanowanie stopnia kompetencji językowej odpowiadającej poziomowi C1 zgodnie z 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835.0" w:type="dxa"/>
        <w:jc w:val="left"/>
        <w:tblInd w:w="324.0" w:type="dxa"/>
        <w:tblLayout w:type="fixed"/>
        <w:tblLook w:val="0000"/>
      </w:tblPr>
      <w:tblGrid>
        <w:gridCol w:w="1054"/>
        <w:gridCol w:w="5710"/>
        <w:gridCol w:w="2071"/>
        <w:tblGridChange w:id="0">
          <w:tblGrid>
            <w:gridCol w:w="1054"/>
            <w:gridCol w:w="5710"/>
            <w:gridCol w:w="2071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200"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identyfikuje podstawowe mechanizmy konstrukcji tekstu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K_W01, K_W06,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rozpoznaje różne rejestry języka (ze szczególnym podkreśleniem znajomości rejestru języka akademickiego) i wie w jakich tekstach je zastosować.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K_W01, K_W06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Student odróżnia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własną argumentację od tez zaczerpniętych ze źródeł pomocniczych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K_W08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przeprowadza wyszukiwanie, selekcjonowanie i ocenę  informacji zawartych w różnych typach wypowiedzi pisemnych pod względem logiki wywodu, rejestru zastosowanego słownictwa oraz struktur gramatycznych, oraz przydatności zawartych w tekście informacji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K_U01, K_U08, K_U09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konstruuje prace pisemne o charakterze ogólnym (np. esej, streszczenie) w języku angielskim z zastosowaniem środków językowych i struktur gramatycznych właściwych dla danego rejestru (zwłaszcza rejestru akademickiego) oraz przy użyciu źródeł pomocniczych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K_U04, K_U05,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interpretuje, przedstawia i ocenia różne opinie i stanowiska, wyrażając precyzyjnie, poprawnie i logicznie swoje myśli i poglądy w formie pisemnej w języku angielskim, wykazując umiejętność argumentowania swojego stanowiska.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K_U04, K_U05, K_U07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krytycznie podchodzi do własnej wiedzy i umiejętności i posiłkuje się wiedzą ekspercką w rozwiązywaniu problemów poznawczych 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after="200" w:before="0" w:lineRule="auto"/>
        <w:ind w:left="216" w:right="0" w:hanging="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948.0" w:type="dxa"/>
        <w:jc w:val="left"/>
        <w:tblInd w:w="324.0" w:type="dxa"/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2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  <w:t xml:space="preserve">, część I; Konstrukcja eseju, część I; ćwiczenia stylistyczne, część I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 IV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  <w:t xml:space="preserve">, część II; Konstrukcja eseju, część II; ćwiczenia stylistyczne, część II</w:t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after="20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200" w:before="0" w:lineRule="auto"/>
        <w:ind w:left="125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5.0" w:type="dxa"/>
        <w:jc w:val="left"/>
        <w:tblInd w:w="324.0" w:type="dxa"/>
        <w:tblLayout w:type="fixed"/>
        <w:tblLook w:val="0000"/>
      </w:tblPr>
      <w:tblGrid>
        <w:gridCol w:w="1081"/>
        <w:gridCol w:w="2650"/>
        <w:gridCol w:w="2791"/>
        <w:gridCol w:w="2543"/>
        <w:tblGridChange w:id="0">
          <w:tblGrid>
            <w:gridCol w:w="1081"/>
            <w:gridCol w:w="2650"/>
            <w:gridCol w:w="2791"/>
            <w:gridCol w:w="2543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200"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widowControl w:val="0"/>
              <w:ind w:left="0" w:righ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widowControl w:val="0"/>
              <w:ind w:left="0" w:righ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widowControl w:val="0"/>
              <w:ind w:left="0" w:righ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98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99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9A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ustna lub pisemna sprawdzająca wiedzę praktyczną;</w:t>
            </w:r>
          </w:p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kolokwium / Test / Praca pisemna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Praca pisemna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A5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wyjaśnianie poszczególnych zagadnień,</w:t>
            </w:r>
          </w:p>
          <w:p w:rsidR="00000000" w:rsidDel="00000000" w:rsidP="00000000" w:rsidRDefault="00000000" w:rsidRPr="00000000" w14:paraId="000000A6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7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ustna lub pisemna sprawdzająca wiedzę praktyczną;</w:t>
            </w:r>
          </w:p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kolokwium / Test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Praca pisemna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B2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B3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B4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ustna lub pisemna sprawdzająca wiedzę praktyczną;</w:t>
            </w:r>
          </w:p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kolokwium / Test / Praca pisemna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Praca pisemna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C3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4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w parach/praca w grupach (wspólna analiza tekstu)</w:t>
            </w:r>
          </w:p>
          <w:p w:rsidR="00000000" w:rsidDel="00000000" w:rsidP="00000000" w:rsidRDefault="00000000" w:rsidRPr="00000000" w14:paraId="000000C5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C6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ustna lub pisemna i informacja zwrotna od grupy lub prowadzącego</w:t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Kolokwium / Test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F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tabs>
                <w:tab w:val="left" w:pos="14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Praca pisemna</w:t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7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D8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pisemna sprawdzająca wiedzę praktyczną i informacja zwrotna od grupy lub prowadzącego</w:t>
            </w:r>
          </w:p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pisemna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5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E6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w parach/praca w grupach (wspólna analiza tekstu)</w:t>
            </w:r>
          </w:p>
          <w:p w:rsidR="00000000" w:rsidDel="00000000" w:rsidP="00000000" w:rsidRDefault="00000000" w:rsidRPr="00000000" w14:paraId="000000E7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8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Odpowiedź ustna lub pisemna sprawdzająca wiedzę praktyczną i informacja zwrotna od grupy lub prowadzącego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Kolokwium / Test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Uzupełniony i oceniony test/Praca pisemna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F9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FA">
            <w:pPr>
              <w:widowControl w:val="0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Obserwacja/Monitorowanie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D">
      <w:pPr>
        <w:numPr>
          <w:ilvl w:val="0"/>
          <w:numId w:val="7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Kryteria oceny, uwagi…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podejścia do zaliczenia jest oddanie w terminie 70% zadań na platformie moodle.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podejścia do zaliczenia jest uczestnictwo w co najmniej 70% zajęć.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jest wypadkową ocen z prac pisemnych.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Esej 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45-51: 3 52-56: 3+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57-63: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64-68: 4+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69-75: 5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Esej 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36-41: 3 4 2-44: 3+ 45-51: 4 52-54: 4+ 55-60: 5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Esej III-n + Egzamin: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27-30: 3 31-33: 3+ 34-37: 4 38-40: 4+ 41-45: 5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kryteria oceny prowadzący udostępni studentom podczas pierwszych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Dodatkowe prace pisemne na ocenę oraz kryteria ich oceny ustala prowadzący.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 przypadku zajęć zdalnych: 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VII.      Obciążenie pracą studenta</w:t>
      </w:r>
    </w:p>
    <w:p w:rsidR="00000000" w:rsidDel="00000000" w:rsidP="00000000" w:rsidRDefault="00000000" w:rsidRPr="00000000" w14:paraId="00000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11.0" w:type="dxa"/>
        <w:jc w:val="left"/>
        <w:tblInd w:w="324.0" w:type="dxa"/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1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200" w:before="0" w:line="276" w:lineRule="auto"/>
        <w:ind w:left="1080" w:hanging="720"/>
        <w:rPr/>
      </w:pPr>
      <w:r w:rsidDel="00000000" w:rsidR="00000000" w:rsidRPr="00000000">
        <w:rPr>
          <w:b w:val="1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8948.0" w:type="dxa"/>
        <w:jc w:val="left"/>
        <w:tblInd w:w="324.0" w:type="dxa"/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2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88" w:lineRule="auto"/>
              <w:ind w:left="12" w:right="0" w:hanging="12"/>
              <w:rPr/>
            </w:pPr>
            <w:r w:rsidDel="00000000" w:rsidR="00000000" w:rsidRPr="00000000">
              <w:rPr>
                <w:rtl w:val="0"/>
              </w:rPr>
              <w:t xml:space="preserve">Caplan, N. A. and S. R. Douglas. 2015. </w:t>
            </w:r>
            <w:r w:rsidDel="00000000" w:rsidR="00000000" w:rsidRPr="00000000">
              <w:rPr>
                <w:i w:val="1"/>
                <w:rtl w:val="0"/>
              </w:rPr>
              <w:t xml:space="preserve">Q: Skills for Success Reading and Writing Level 5</w:t>
            </w:r>
            <w:r w:rsidDel="00000000" w:rsidR="00000000" w:rsidRPr="00000000">
              <w:rPr>
                <w:rtl w:val="0"/>
              </w:rPr>
              <w:t xml:space="preserve">, OUP.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88" w:lineRule="auto"/>
              <w:ind w:left="12" w:right="0" w:hanging="1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Evans, V. 1998. </w:t>
            </w:r>
            <w:r w:rsidDel="00000000" w:rsidR="00000000" w:rsidRPr="00000000">
              <w:rPr>
                <w:i w:val="1"/>
                <w:rtl w:val="0"/>
              </w:rPr>
              <w:t xml:space="preserve">Successful Writing Proficiency</w:t>
            </w:r>
            <w:r w:rsidDel="00000000" w:rsidR="00000000" w:rsidRPr="00000000">
              <w:rPr>
                <w:rtl w:val="0"/>
              </w:rPr>
              <w:t xml:space="preserve">. Express Publishing.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88" w:lineRule="auto"/>
              <w:ind w:left="12" w:right="0" w:hanging="1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Oshima, A. and A. Hogue. 2006. </w:t>
            </w:r>
            <w:r w:rsidDel="00000000" w:rsidR="00000000" w:rsidRPr="00000000">
              <w:rPr>
                <w:i w:val="1"/>
                <w:rtl w:val="0"/>
              </w:rPr>
              <w:t xml:space="preserve">Writing Academic English</w:t>
            </w:r>
            <w:r w:rsidDel="00000000" w:rsidR="00000000" w:rsidRPr="00000000">
              <w:rPr>
                <w:rtl w:val="0"/>
              </w:rPr>
              <w:t xml:space="preserve">. Pearson Longman.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pos="720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Jordan, R. R. 1999. </w:t>
            </w:r>
            <w:r w:rsidDel="00000000" w:rsidR="00000000" w:rsidRPr="00000000">
              <w:rPr>
                <w:i w:val="1"/>
                <w:rtl w:val="0"/>
              </w:rPr>
              <w:t xml:space="preserve">Academic Writing Course: Study Skills in English</w:t>
            </w:r>
            <w:r w:rsidDel="00000000" w:rsidR="00000000" w:rsidRPr="00000000">
              <w:rPr>
                <w:rtl w:val="0"/>
              </w:rPr>
              <w:t xml:space="preserve">. Pearson</w:t>
            </w:r>
          </w:p>
          <w:p w:rsidR="00000000" w:rsidDel="00000000" w:rsidP="00000000" w:rsidRDefault="00000000" w:rsidRPr="00000000" w14:paraId="0000011A">
            <w:pPr>
              <w:widowControl w:val="0"/>
              <w:tabs>
                <w:tab w:val="left" w:pos="720"/>
              </w:tabs>
              <w:spacing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Macpherson, R. 1998. </w:t>
            </w:r>
            <w:r w:rsidDel="00000000" w:rsidR="00000000" w:rsidRPr="00000000">
              <w:rPr>
                <w:i w:val="1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rtl w:val="0"/>
              </w:rPr>
              <w:t xml:space="preserve">. Wydawnictwo Naukowe PWN.</w:t>
            </w:r>
          </w:p>
          <w:p w:rsidR="00000000" w:rsidDel="00000000" w:rsidP="00000000" w:rsidRDefault="00000000" w:rsidRPr="00000000" w14:paraId="0000011B">
            <w:pPr>
              <w:widowControl w:val="0"/>
              <w:tabs>
                <w:tab w:val="left" w:pos="720"/>
              </w:tabs>
              <w:spacing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Zemach, D. E. and L. A. Rumisek. 2005. </w:t>
            </w:r>
            <w:r w:rsidDel="00000000" w:rsidR="00000000" w:rsidRPr="00000000">
              <w:rPr>
                <w:i w:val="1"/>
                <w:rtl w:val="0"/>
              </w:rPr>
              <w:t xml:space="preserve">Academic Writing from Paragraph to Essay</w:t>
            </w:r>
            <w:r w:rsidDel="00000000" w:rsidR="00000000" w:rsidRPr="00000000">
              <w:rPr>
                <w:rtl w:val="0"/>
              </w:rPr>
              <w:t xml:space="preserve">. Macmillan</w:t>
            </w:r>
          </w:p>
        </w:tc>
      </w:tr>
    </w:tbl>
    <w:p w:rsidR="00000000" w:rsidDel="00000000" w:rsidP="00000000" w:rsidRDefault="00000000" w:rsidRPr="00000000" w14:paraId="0000011C">
      <w:pPr>
        <w:widowControl w:val="0"/>
        <w:spacing w:after="20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tabs>
        <w:tab w:val="right" w:pos="9046"/>
      </w:tabs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296" w:hanging="936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656" w:hanging="576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376" w:hanging="525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096" w:hanging="575.9999999999995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16" w:hanging="576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36" w:hanging="525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56" w:hanging="576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976" w:hanging="576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696" w:hanging="525"/>
      </w:pPr>
      <w:rPr>
        <w:smallCaps w:val="0"/>
        <w:strike w:val="0"/>
        <w:sz w:val="20"/>
        <w:szCs w:val="20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en-US"/>
    </w:rPr>
  </w:style>
  <w:style w:type="character" w:styleId="DefaultParagraphFont" w:default="1">
    <w:name w:val="Default Paragraph Font"/>
    <w:qFormat w:val="1"/>
    <w:rPr/>
  </w:style>
  <w:style w:type="character" w:styleId="Czeinternetowe">
    <w:name w:val="Łącze internetowe"/>
    <w:rPr>
      <w:u w:color="ffffff" w:val="single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HeaderFooter">
    <w:name w:val="Header &amp; Footer"/>
    <w:qFormat w:val="1"/>
    <w:pPr>
      <w:keepNext w:val="0"/>
      <w:keepLines w:val="0"/>
      <w:pageBreakBefore w:val="0"/>
      <w:widowControl w:val="1"/>
      <w:pBdr/>
      <w:shd w:color="auto" w:fill="auto" w:val="clear"/>
      <w:tabs>
        <w:tab w:val="clear" w:pos="720"/>
        <w:tab w:val="right" w:leader="none" w:pos="9020"/>
      </w:tabs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ffffff" w:val="none"/>
      <w:vertAlign w:val="baseline"/>
      <w:lang w:bidi="hi-IN" w:eastAsia="zh-CN" w:val="pl-PL"/>
    </w:rPr>
  </w:style>
  <w:style w:type="paragraph" w:styleId="TableStyle2">
    <w:name w:val="Table Style 2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0"/>
      <w:szCs w:val="20"/>
      <w:u w:color="ffffff" w:val="none"/>
      <w:vertAlign w:val="baseline"/>
      <w:lang w:bidi="hi-IN" w:eastAsia="zh-CN" w:val="pl-PL"/>
    </w:rPr>
  </w:style>
  <w:style w:type="paragraph" w:styleId="Body">
    <w:name w:val="Body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ffffff" w:val="none"/>
      <w:vertAlign w:val="baseline"/>
      <w:lang w:bidi="hi-IN" w:eastAsia="zh-CN" w:val="pl-PL"/>
    </w:rPr>
  </w:style>
  <w:style w:type="paragraph" w:styleId="V1gmailwestern">
    <w:name w:val="v1gmail-western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100" w:afterAutospacing="0" w:before="100" w:beforeAutospacing="0" w:line="240" w:lineRule="auto"/>
      <w:ind w:left="0" w:right="0" w:hanging="0"/>
      <w:jc w:val="left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4"/>
      <w:szCs w:val="24"/>
      <w:u w:color="000000" w:val="none"/>
      <w:vertAlign w:val="baseline"/>
      <w:lang w:bidi="hi-IN" w:eastAsia="zh-CN" w:val="pl-PL"/>
    </w:rPr>
  </w:style>
  <w:style w:type="paragraph" w:styleId="BodyA">
    <w:name w:val="Body A"/>
    <w:qFormat w:val="1"/>
    <w:pPr>
      <w:keepNext w:val="0"/>
      <w:keepLines w:val="0"/>
      <w:pageBreakBefore w:val="0"/>
      <w:widowControl w:val="1"/>
      <w:pBdr/>
      <w:shd w:color="auto" w:fill="auto" w:val="clear"/>
      <w:suppressAutoHyphens w:val="0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00"/>
      <w:kern w:val="0"/>
      <w:position w:val="0"/>
      <w:sz w:val="22"/>
      <w:szCs w:val="22"/>
      <w:u w:color="000000" w:val="none"/>
      <w:vertAlign w:val="baseline"/>
      <w:lang w:bidi="hi-IN" w:eastAsia="zh-CN" w:val="pl-PL"/>
    </w:rPr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 w:val="1"/>
    <w:pPr>
      <w:widowControl w:val="0"/>
      <w:suppressLineNumbers w:val="1"/>
    </w:pPr>
    <w:rPr/>
  </w:style>
  <w:style w:type="paragraph" w:styleId="Nagwektabeli">
    <w:name w:val="Nagłówek tabeli"/>
    <w:basedOn w:val="Zawartotabeli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qFormat w:val="1"/>
  </w:style>
  <w:style w:type="numbering" w:styleId="ImportedStyle1">
    <w:name w:val="Imported Style 1"/>
    <w:qFormat w:val="1"/>
  </w:style>
  <w:style w:type="numbering" w:styleId="ImportedStyle2">
    <w:name w:val="Imported Style 2"/>
    <w:qFormat w:val="1"/>
  </w:style>
  <w:style w:type="numbering" w:styleId="ImportedStyle3">
    <w:name w:val="Imported Style 3"/>
    <w:qFormat w:val="1"/>
  </w:style>
  <w:style w:type="numbering" w:styleId="ImportedStyle4">
    <w:name w:val="Imported Style 4"/>
    <w:qFormat w:val="1"/>
  </w:style>
  <w:style w:type="numbering" w:styleId="ImportedStyle5">
    <w:name w:val="Imported Style 5"/>
    <w:qFormat w:val="1"/>
  </w:style>
  <w:style w:type="numbering" w:styleId="ImportedStyle6">
    <w:name w:val="Imported Style 6"/>
    <w:qFormat w:val="1"/>
  </w:style>
  <w:style w:type="table" w:styleId="Table Normal" w:default="1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J1AiSzs7IFDiqWEGAVpKP2/3Q==">AMUW2mWNetAaOWE1I4XtPd8A5s2kJ1gC3k/I8TYgI08IS+xofyZPdGqn/QGEuyLEEXY6LCZ+lgBhlqjsHusLSWz0Zv3TBVyBq739svk5jYYBd5BO/DFkIck=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