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tekstów kultury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Translation of texts of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B2+/C1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Znajomość języka polskiego na poziomie B2+/C1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Wprowadzenie do teorii i praktyki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Nabycie, kształcenie i rozwijanie praktycznych umiejętności umożliwiających wykonywanie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Rozwijanie sprawności i świadomości językowej, która ma usprawnić posługiwanie się językiem polskim i angielskim w kontekście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rozróżnia podstawowe techniki oraz praktyki tłumaczeniowe mające zastosowanie w tłumaczeniu tekstów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konwencje i zagadnienia tłumaczeniowe mające znaczenie w tłumaczeniu tekstów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wpływ nacechowania kulturowego na znaczenie tekstu wyjściowego i docelowego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odpowiednie techniki tłumaczeniowe do gatunku, stylu i rejestru tekstu wyjściowego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rozwiązania potencjalnych problemów tłumaczeniowych w tekście źródłowym w procesie doboru strategii przekładu i samego przekładu szeroko pojętych tekstów kultury w obrębie języka polskiego i angielskiego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pogłębianie swojej świadomości wpływu kontekstu kulturowego na proces tłumaczenia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obejmują wprowadzenie do teorii tłumaczenia ze szczególnym uwzględnieniem szeroko rozumianych tekstów kultury. W trakcie zajęć studenci zapoznają się z wybranymi tekstami teoretycznymi dotyczącymi przekładu tekstów kultury, a następnie na podstawie przykładowych tekstów wyjściowych zarówno w języku angielskim, jak i polskim studenci są przeprowadzani przez proces ich tłumaczenia. Opracowanie tekstu obejmuje przygotowanie glosariusza oraz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wstępnej wersji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tłumaczenia całości lub wybranego fragmentu tekstu (PL-EN i/lub EN-PL).</w:t>
            </w:r>
          </w:p>
        </w:tc>
      </w:tr>
      <w:tr>
        <w:trPr>
          <w:cantSplit w:val="0"/>
          <w:trHeight w:val="7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pracy omawiane są podczas zajęć. Wówczas też wspólnie wypracowywane są metody pracy z szeroko pojętymi tekstami kultury, a uczestnicy dzielą się wiedzą o wykorzystanych źródłach informacji oraz metodach tłumaczenia.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Poniższy wykaz tematów może ulec zmianie w zależności od zaobserwowanych potrzeb.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kursu; wymagania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Co to jest “tekst kultury”?; Jakie są związki między kulturą a tłumaczeniem? - zarys problematyki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Podstawy teorii tłumaczenia; wprowadzenie do współpracy z narzędziami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wspomagającymi tłumaczenie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Proces przygotowania i przeprowadzenia tłumaczenia (przygotowanie glosariusza, źródła informacji terminologicznej, przygotowanie tzw. draftu tłumaczenia)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Teksty prasowe o charakterze informacyjnym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Teksty prasowe o charakterze opiniotwórczym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Teksty popularnonaukowe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Teksty reklamowe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Teksty z dziedziny turystyki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Teksty z dziedziny historii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Przekład teatralny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Przekład komiksu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-15 Omówienie indywidualnych portfolio studentów, wystawienie ocen końcowych; podsumowanie kursu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 Praca w grupie / Studium przypadku (case study) /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Odpowiedź ustna w czasie zajęć sprawdzająca wiedzę praktyczną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Oceniony tekst pracy pisemnej 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 Praca w grupie / Studium przypadku (case study) /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Oceniony tekst pracy pisemnej 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dopuszczalnych </w:t>
      </w:r>
      <w:r w:rsidDel="00000000" w:rsidR="00000000" w:rsidRPr="00000000">
        <w:rPr>
          <w:sz w:val="22"/>
          <w:szCs w:val="22"/>
          <w:rtl w:val="0"/>
        </w:rPr>
        <w:t xml:space="preserve">nieobecności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zajęciach, na które składa się realizacja mini-projektów/zadań z zajęć na zajęcia (ocenianych regularnie) oraz kończące semestr selektywne omówienie tzw. portfolio każdego studenta, które obejmuje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próbki tłumaczeń z omawianych na zajęciach dziedzin (wybór należy do studenta) i krótką pisemną refleksję na temat procesu tłumaczenia uwzględniającą teoretyczne zagadnienia poruszone w czasie kursu. Aktywne uczestnictwo w zajęciach stanowi 60% oceny końcowej, natomiast ocena portfolio 40%.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UWAGA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Jeśli student zgłosi do oceny podpisaną przez siebie pracę, która została w istotnym stopniu stworzona przez kogoś innego (np. innego studenta) lub coś innego (np. translator internetowy), skutkuje to otrzymaniem za tę pracę oceny niedostatecznej bez możliwości poprawy.</w:t>
      </w:r>
    </w:p>
    <w:p w:rsidR="00000000" w:rsidDel="00000000" w:rsidP="00000000" w:rsidRDefault="00000000" w:rsidRPr="00000000" w14:paraId="000000BF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Szczegółowe kryteria oceny każdego komponentu kursu podaje prowadzący zajęcia.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aktualnych tekstów kultury w języku polskim i angielskim.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aktualnych tekstów dotyczących teorii tłumaczenia szeroko rozumianych tekstów kultury w języku polskim i angielskim.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Belczyk, A. 2002. Poradnik tłumacza. Kraków: Idea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Dzierżanowska, H. 1988. Przekład tekstów nieliterackich na przykładzie języka angielskiego. Warszawa: PWN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Hatim, B., J. Munday. 2004. Translation: An advanced resource book. London-New York: Routledge.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Korzeniowska, A. 1998. Explorations in Polish-English mistranslation problems. Warszawa: Wyd. UW.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Korzeniowska, A., Kuhiwczak, P. 1994. Successful Polish-English translation. Tricks of the trade. Warszawa: Wydawnictwo Naukowe PWN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11074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10740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gTcakLxxjttVS0Mbm7LSBQAf6Q==">CgMxLjA4AHIhMUF6TjZJMnRfZm9ZS3hwTHBMWVljVGFlZkV5ZWRPT1NO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2021-09-22T07:54:00Z</dcterms:created>
</cp:coreProperties>
</file>