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/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KARTA PRZEDMIOTU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/>
      </w:pPr>
      <w:r w:rsidDel="00000000" w:rsidR="00000000" w:rsidRPr="00000000">
        <w:rPr>
          <w:i w:val="1"/>
          <w:color w:val="000000"/>
          <w:sz w:val="20"/>
          <w:szCs w:val="20"/>
          <w:highlight w:val="white"/>
          <w:rtl w:val="0"/>
        </w:rPr>
        <w:t xml:space="preserve">Cykl kształcenia od roku akademickiego: 202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3</w:t>
      </w:r>
      <w:r w:rsidDel="00000000" w:rsidR="00000000" w:rsidRPr="00000000">
        <w:rPr>
          <w:i w:val="1"/>
          <w:color w:val="000000"/>
          <w:sz w:val="20"/>
          <w:szCs w:val="20"/>
          <w:highlight w:val="white"/>
          <w:rtl w:val="0"/>
        </w:rPr>
        <w:t xml:space="preserve">/2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6"/>
        </w:numPr>
        <w:spacing w:line="240" w:lineRule="auto"/>
        <w:ind w:left="0" w:firstLine="0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Dane podstawowe</w:t>
      </w:r>
    </w:p>
    <w:tbl>
      <w:tblPr>
        <w:tblStyle w:val="Table1"/>
        <w:tblW w:w="9131.0" w:type="dxa"/>
        <w:jc w:val="left"/>
        <w:tblInd w:w="-80.0" w:type="dxa"/>
        <w:tblLayout w:type="fixed"/>
        <w:tblLook w:val="0400"/>
      </w:tblPr>
      <w:tblGrid>
        <w:gridCol w:w="4163"/>
        <w:gridCol w:w="4968"/>
        <w:tblGridChange w:id="0">
          <w:tblGrid>
            <w:gridCol w:w="4163"/>
            <w:gridCol w:w="496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Wybrane zagadnienia literaturoznawstwa angielskiego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English Literary Studies – Selected Problems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Kierunek studiów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Literaturoznawstwo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7469.0" w:type="dxa"/>
        <w:jc w:val="left"/>
        <w:tblInd w:w="-80.0" w:type="dxa"/>
        <w:tblLayout w:type="fixed"/>
        <w:tblLook w:val="0400"/>
      </w:tblPr>
      <w:tblGrid>
        <w:gridCol w:w="4364"/>
        <w:gridCol w:w="3105"/>
        <w:tblGridChange w:id="0">
          <w:tblGrid>
            <w:gridCol w:w="4364"/>
            <w:gridCol w:w="3105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Dr hab. Joanna Teske, prof. KUL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5793.0" w:type="dxa"/>
        <w:jc w:val="left"/>
        <w:tblInd w:w="-80.0" w:type="dxa"/>
        <w:tblLayout w:type="fixed"/>
        <w:tblLook w:val="0400"/>
      </w:tblPr>
      <w:tblGrid>
        <w:gridCol w:w="2170"/>
        <w:gridCol w:w="1413"/>
        <w:gridCol w:w="833"/>
        <w:gridCol w:w="1377"/>
        <w:tblGridChange w:id="0">
          <w:tblGrid>
            <w:gridCol w:w="2170"/>
            <w:gridCol w:w="1413"/>
            <w:gridCol w:w="833"/>
            <w:gridCol w:w="137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Forma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semestr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Punkty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232.0" w:type="dxa"/>
        <w:jc w:val="left"/>
        <w:tblInd w:w="-80.0" w:type="dxa"/>
        <w:tblLayout w:type="fixed"/>
        <w:tblLook w:val="0400"/>
      </w:tblPr>
      <w:tblGrid>
        <w:gridCol w:w="1527"/>
        <w:gridCol w:w="7705"/>
        <w:tblGridChange w:id="0">
          <w:tblGrid>
            <w:gridCol w:w="1527"/>
            <w:gridCol w:w="7705"/>
          </w:tblGrid>
        </w:tblGridChange>
      </w:tblGrid>
      <w:tr>
        <w:trPr>
          <w:cantSplit w:val="0"/>
          <w:trHeight w:val="10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Znajomość języka angielskiego</w:t>
            </w:r>
            <w:r w:rsidDel="00000000" w:rsidR="00000000" w:rsidRPr="00000000">
              <w:rPr>
                <w:color w:val="f79646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2"/>
                <w:szCs w:val="22"/>
                <w:highlight w:val="white"/>
                <w:rtl w:val="0"/>
              </w:rPr>
              <w:t xml:space="preserve">B2+/C1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, podstawowa znajomość literatury narracyjnej, podstawowe umiejętności analizy i interpretacji tekstu narracyjnego (terminologia, zasady interpretacji, itp.).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spacing w:after="0" w:line="240" w:lineRule="auto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52">
      <w:pPr>
        <w:numPr>
          <w:ilvl w:val="0"/>
          <w:numId w:val="7"/>
        </w:numPr>
        <w:spacing w:line="240" w:lineRule="auto"/>
        <w:ind w:left="720" w:hanging="360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Cele kształcenia dla przedmiotu </w:t>
      </w:r>
    </w:p>
    <w:tbl>
      <w:tblPr>
        <w:tblStyle w:val="Table5"/>
        <w:tblW w:w="6850.0" w:type="dxa"/>
        <w:jc w:val="left"/>
        <w:tblInd w:w="-80.0" w:type="dxa"/>
        <w:tblLayout w:type="fixed"/>
        <w:tblLook w:val="0400"/>
      </w:tblPr>
      <w:tblGrid>
        <w:gridCol w:w="6850"/>
        <w:tblGridChange w:id="0">
          <w:tblGrid>
            <w:gridCol w:w="6850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3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C1 Znajomość problematyki umysłu we współczesnej prozy anglojęzycznej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C2 Znajomość</w:t>
            </w:r>
            <w:r w:rsidDel="00000000" w:rsidR="00000000" w:rsidRPr="00000000">
              <w:rPr>
                <w:color w:val="000000"/>
                <w:sz w:val="22"/>
                <w:szCs w:val="22"/>
                <w:highlight w:val="white"/>
                <w:rtl w:val="0"/>
              </w:rPr>
              <w:t xml:space="preserve"> poznawczych funkcjach sztuki,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w tym literatury pięknej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 3 Lepsza umiejętność analizy i interpretacji prozy narracyjnej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spacing w:after="0" w:line="240" w:lineRule="auto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57">
      <w:pPr>
        <w:numPr>
          <w:ilvl w:val="0"/>
          <w:numId w:val="8"/>
        </w:numPr>
        <w:spacing w:line="240" w:lineRule="auto"/>
        <w:ind w:left="720" w:hanging="360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232.0" w:type="dxa"/>
        <w:jc w:val="left"/>
        <w:tblInd w:w="-80.0" w:type="dxa"/>
        <w:tblLayout w:type="fixed"/>
        <w:tblLook w:val="0400"/>
      </w:tblPr>
      <w:tblGrid>
        <w:gridCol w:w="845"/>
        <w:gridCol w:w="6318"/>
        <w:gridCol w:w="2069"/>
        <w:tblGridChange w:id="0">
          <w:tblGrid>
            <w:gridCol w:w="845"/>
            <w:gridCol w:w="6318"/>
            <w:gridCol w:w="2069"/>
          </w:tblGrid>
        </w:tblGridChange>
      </w:tblGrid>
      <w:tr>
        <w:trPr>
          <w:cantSplit w:val="0"/>
          <w:trHeight w:val="6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Symbol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Opis efektu przedmiotowego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Odniesienie do efektu kierunkowego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WIEDZA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Student/ka przedstawia problematykę umysłu we współczesnej literaturze anglojęzycznej, w kontekście poznawczej funkcji sztuki i  współczesnej wiedzy na temat umysłu.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K_W04, K_W07,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Student/ka ujmuje związki między literaturą, literaturoznawstwem a badaniami nad umysłem (kognitywistyką i filozofią umysłu)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K_W07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Student/ka rozpoznaje anglojęzyczną terminologię z zakresu narratologii i badań nad umysłem w stopniu wymaganym, by badać tę tematykę w powieści  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K_W01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Student/ka przeprowadza analizę i proponuje interpretację powieści (i innych utworów narracyjnych, pisanych prozą) w zakresie tematyki umysłu/psychiki.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K_U01, K_U02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Student/ka uzasadnia swoją interpretację utworu narracyjnego, zwłaszcza w zakresie prezentacji umysłu, oraz swoją interpretację i ocenę tekstów naukowych o tej tematyce.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K_U01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Student/ka  precyzyjnie posługuje się językiem angielskim, przedstawiając swoje interpretacje tekstów narracyjnych i  omawiając ich sposób przedstawienia umysłu.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K_U04, K_U05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1"/>
        </w:numPr>
        <w:spacing w:line="240" w:lineRule="auto"/>
        <w:ind w:left="720" w:hanging="360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Opis przedmiotu/ treści programowe</w:t>
      </w:r>
    </w:p>
    <w:tbl>
      <w:tblPr>
        <w:tblStyle w:val="Table7"/>
        <w:tblW w:w="9232.0" w:type="dxa"/>
        <w:jc w:val="left"/>
        <w:tblInd w:w="-80.0" w:type="dxa"/>
        <w:tblLayout w:type="fixed"/>
        <w:tblLook w:val="0400"/>
      </w:tblPr>
      <w:tblGrid>
        <w:gridCol w:w="9232"/>
        <w:tblGridChange w:id="0">
          <w:tblGrid>
            <w:gridCol w:w="9232"/>
          </w:tblGrid>
        </w:tblGridChange>
      </w:tblGrid>
      <w:tr>
        <w:trPr>
          <w:cantSplit w:val="0"/>
          <w:trHeight w:val="24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Elementy poznawczej teorii sztuki.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Znaczenie narracji dla człowieka.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Literackie środki wyrazu pozwalające przedstawiać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treści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mentalne postaci i narratora.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Eksploracja ludzkiej psychiki w tekstach narracyjnych realistycznej, modernistycznej, postmodernistycznej i metamodernistycznej konwencji.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Eksperymenty myślowe dotyczące umysłu (nienaturalne umysły)  m.in. w science fiction.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Literackie reprezentacje umysłu (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kwestia świadomości, tożsamości, wolnej woli)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nawiązujące do rozważanych aktualnie teorii w ramach kognitywistyki i filozofii umysłu.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Kognitywistyczne badania literackie (analiza procesów poznawczych zaangażowanych w proces tworzenia i recepcji dzieł literackich).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spacing w:after="0" w:line="240" w:lineRule="auto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7D">
      <w:pPr>
        <w:numPr>
          <w:ilvl w:val="0"/>
          <w:numId w:val="2"/>
        </w:numPr>
        <w:spacing w:line="240" w:lineRule="auto"/>
        <w:ind w:left="720" w:hanging="360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Metody realizacji i weryfikacji efektów uczenia się</w:t>
      </w:r>
    </w:p>
    <w:tbl>
      <w:tblPr>
        <w:tblStyle w:val="Table8"/>
        <w:tblW w:w="9232.0" w:type="dxa"/>
        <w:jc w:val="left"/>
        <w:tblInd w:w="-80.0" w:type="dxa"/>
        <w:tblLayout w:type="fixed"/>
        <w:tblLook w:val="0400"/>
      </w:tblPr>
      <w:tblGrid>
        <w:gridCol w:w="1009"/>
        <w:gridCol w:w="1865"/>
        <w:gridCol w:w="3862"/>
        <w:gridCol w:w="2496"/>
        <w:tblGridChange w:id="0">
          <w:tblGrid>
            <w:gridCol w:w="1009"/>
            <w:gridCol w:w="1865"/>
            <w:gridCol w:w="3862"/>
            <w:gridCol w:w="2496"/>
          </w:tblGrid>
        </w:tblGridChange>
      </w:tblGrid>
      <w:tr>
        <w:trPr>
          <w:cantSplit w:val="0"/>
          <w:trHeight w:val="5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Metody dydaktyczne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Metody weryfikacji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Sposoby dokumentacji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9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A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Miniwykłady wprowadzające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Praca z tekstem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Analiza tekstu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Metoda projektu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F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Obserwacja pracy studenta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Zespołowa prezentacja, której tematem jest praca nad projektem – mini zadaniem badawczym, i kontrolna praca pisemna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1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Praca pisemna wraz z oceną (ewentualnie komentarzem).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3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4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Miniwykłady wprowadzające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6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Obserwacja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8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9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Miniwykłady wprowadzające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Analiza tekstu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Praca z tekstem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Metoda projektu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Obserwacja pracy studenta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Zespołowa prezentacja i kontrolna praca pisemna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Praca pisemna wraz z oceną (ewentualnie komentarzem).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Metoda projektu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Analiza tekstu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Praca z tekstem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Obserwacja pracy studenta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Zespołowa prezentacja i kontrolna praca pisemna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Zapis w arkuszu ocen.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Praca pisemna wraz z oceną (ewentualnie komentarzem).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Metoda projektu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Analiza tekstu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Praca z tekstem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Obserwacja pracy studenta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Zespołowa prezentacja i kontrolna praca pisemna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Zapis w arkuszu ocen.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Praca pisemna wraz z oceną (ewentualnie komentarzem).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8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9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Metoda projektu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Analiza tekstu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Praca z tekstem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Obserwacja pracy studenta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Zespołowa prezentacja i  kontrolna praca pisemna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Zapis w arkuszu ocen.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Praca pisemna wraz z oceną (ewentualnie komentarzem).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1">
      <w:pPr>
        <w:spacing w:after="0" w:line="240" w:lineRule="auto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C2">
      <w:pPr>
        <w:numPr>
          <w:ilvl w:val="0"/>
          <w:numId w:val="3"/>
        </w:numPr>
        <w:spacing w:line="240" w:lineRule="auto"/>
        <w:ind w:left="720" w:hanging="360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Kryteria oceny, wagi…</w:t>
      </w:r>
    </w:p>
    <w:p w:rsidR="00000000" w:rsidDel="00000000" w:rsidP="00000000" w:rsidRDefault="00000000" w:rsidRPr="00000000" w14:paraId="000000C3">
      <w:pPr>
        <w:spacing w:after="0" w:line="240" w:lineRule="auto"/>
        <w:jc w:val="both"/>
        <w:rPr/>
      </w:pPr>
      <w:r w:rsidDel="00000000" w:rsidR="00000000" w:rsidRPr="00000000">
        <w:rPr>
          <w:color w:val="000000"/>
          <w:rtl w:val="0"/>
        </w:rPr>
        <w:t xml:space="preserve">Warunkiem zaliczenia kursu </w:t>
      </w:r>
      <w:r w:rsidDel="00000000" w:rsidR="00000000" w:rsidRPr="00000000">
        <w:rPr>
          <w:rtl w:val="0"/>
        </w:rPr>
        <w:t xml:space="preserve">jest (1) zaliczenie pracy semestralnej (testu semestralnego) oraz (2)</w:t>
      </w:r>
      <w:r w:rsidDel="00000000" w:rsidR="00000000" w:rsidRPr="00000000">
        <w:rPr>
          <w:color w:val="000000"/>
          <w:rtl w:val="0"/>
        </w:rPr>
        <w:t xml:space="preserve"> przygotowanie zespołowe prezentacji, której przedmiotem jest  analiza współczesnej anglojęzycznej powieści </w:t>
      </w:r>
      <w:r w:rsidDel="00000000" w:rsidR="00000000" w:rsidRPr="00000000">
        <w:rPr>
          <w:rtl w:val="0"/>
        </w:rPr>
        <w:t xml:space="preserve">lub</w:t>
      </w:r>
      <w:r w:rsidDel="00000000" w:rsidR="00000000" w:rsidRPr="00000000">
        <w:rPr>
          <w:color w:val="000000"/>
          <w:rtl w:val="0"/>
        </w:rPr>
        <w:t xml:space="preserve"> opowiadania </w:t>
      </w:r>
      <w:r w:rsidDel="00000000" w:rsidR="00000000" w:rsidRPr="00000000">
        <w:rPr>
          <w:rtl w:val="0"/>
        </w:rPr>
        <w:t xml:space="preserve">skupiona na </w:t>
      </w:r>
      <w:r w:rsidDel="00000000" w:rsidR="00000000" w:rsidRPr="00000000">
        <w:rPr>
          <w:color w:val="000000"/>
          <w:rtl w:val="0"/>
        </w:rPr>
        <w:t xml:space="preserve">tematyce umysłu. W prezentacji należy udokumentować wszelkie treści (cytaty czy parafrazy) pochodzące ze źródeł krytycznych i dołączyć wykaz takich źródeł w spisie literatury; brak takiej dokumentacji </w:t>
      </w:r>
      <w:r w:rsidDel="00000000" w:rsidR="00000000" w:rsidRPr="00000000">
        <w:rPr>
          <w:rtl w:val="0"/>
        </w:rPr>
        <w:t xml:space="preserve">oznacza plagiat i dyskwalifikuje pracę. Końcowa ocena to ocena z pracy semestralnej (testu semestralnego) (100%), z wyjątkiem sytuacji, gdy ocena pracy studenta na przestrzeni całego semestru wystawiona przez prowadzącego jest wyższa niż ocena z pracy (testu), i wówczas obie oceny ważą po 50%.</w:t>
      </w:r>
    </w:p>
    <w:p w:rsidR="00000000" w:rsidDel="00000000" w:rsidP="00000000" w:rsidRDefault="00000000" w:rsidRPr="00000000" w14:paraId="000000C4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0" w:line="240" w:lineRule="auto"/>
        <w:rPr/>
      </w:pPr>
      <w:r w:rsidDel="00000000" w:rsidR="00000000" w:rsidRPr="00000000">
        <w:rPr>
          <w:color w:val="000000"/>
          <w:rtl w:val="0"/>
        </w:rPr>
        <w:t xml:space="preserve">Dozwolone są dwie nieobecności nieusprawiedliwione.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0" w:line="240" w:lineRule="auto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C8">
      <w:pPr>
        <w:numPr>
          <w:ilvl w:val="0"/>
          <w:numId w:val="4"/>
        </w:numPr>
        <w:spacing w:line="240" w:lineRule="auto"/>
        <w:ind w:left="720" w:hanging="360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Obciążenie pracą studenta</w:t>
      </w:r>
    </w:p>
    <w:tbl>
      <w:tblPr>
        <w:tblStyle w:val="Table9"/>
        <w:tblW w:w="5599.000000000001" w:type="dxa"/>
        <w:jc w:val="left"/>
        <w:tblInd w:w="-80.0" w:type="dxa"/>
        <w:tblLayout w:type="fixed"/>
        <w:tblLook w:val="0400"/>
      </w:tblPr>
      <w:tblGrid>
        <w:gridCol w:w="4186"/>
        <w:gridCol w:w="1413"/>
        <w:tblGridChange w:id="0">
          <w:tblGrid>
            <w:gridCol w:w="4186"/>
            <w:gridCol w:w="1413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9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A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B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Liczba godzin kontaktowych z nauczycielem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C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D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E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30 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F">
      <w:pPr>
        <w:spacing w:after="0" w:line="240" w:lineRule="auto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D0">
      <w:pPr>
        <w:numPr>
          <w:ilvl w:val="0"/>
          <w:numId w:val="5"/>
        </w:numPr>
        <w:spacing w:line="240" w:lineRule="auto"/>
        <w:ind w:left="720" w:hanging="360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Literatura</w:t>
      </w:r>
    </w:p>
    <w:tbl>
      <w:tblPr>
        <w:tblStyle w:val="Table10"/>
        <w:tblW w:w="9232.0" w:type="dxa"/>
        <w:jc w:val="left"/>
        <w:tblInd w:w="-80.0" w:type="dxa"/>
        <w:tblLayout w:type="fixed"/>
        <w:tblLook w:val="0400"/>
      </w:tblPr>
      <w:tblGrid>
        <w:gridCol w:w="9232"/>
        <w:tblGridChange w:id="0">
          <w:tblGrid>
            <w:gridCol w:w="923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1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Literatura podstawowa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2">
            <w:pPr>
              <w:spacing w:after="0" w:line="240" w:lineRule="auto"/>
              <w:ind w:firstLine="844"/>
              <w:jc w:val="both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Fiction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Thinks...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Davida Lodge’a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Blindsight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by Petera Wattsa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Machines Like Me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Iana McEwana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Altered Carbon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Richarda Morgana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Frankissstein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Jeanette Winterson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Short stories: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“The Destructors”  Grahama Greene’a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“Mrs Dalloway in Bond Street” Virignii Woolf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“Yorick”  Salmana Rushdiego </w:t>
            </w:r>
          </w:p>
          <w:p w:rsidR="00000000" w:rsidDel="00000000" w:rsidP="00000000" w:rsidRDefault="00000000" w:rsidRPr="00000000" w14:paraId="000000D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“The Hanging Girl” Ali Smith</w:t>
            </w:r>
          </w:p>
          <w:p w:rsidR="00000000" w:rsidDel="00000000" w:rsidP="00000000" w:rsidRDefault="00000000" w:rsidRPr="00000000" w14:paraId="000000D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(Podane powyżej teksty są przykładowe i mogą zostać zastąpione i uzupełnione przez inne teksty).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0">
            <w:pPr>
              <w:spacing w:after="0" w:line="240" w:lineRule="auto"/>
              <w:ind w:left="720" w:firstLine="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Critical sources: </w:t>
            </w:r>
          </w:p>
          <w:p w:rsidR="00000000" w:rsidDel="00000000" w:rsidP="00000000" w:rsidRDefault="00000000" w:rsidRPr="00000000" w14:paraId="000000E1">
            <w:pPr>
              <w:spacing w:after="0" w:line="240" w:lineRule="auto"/>
              <w:ind w:left="72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spacing w:after="0" w:line="240" w:lineRule="auto"/>
              <w:ind w:left="1400" w:hanging="70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Gottshall, Jonathan. </w:t>
            </w:r>
            <w:r w:rsidDel="00000000" w:rsidR="00000000" w:rsidRPr="00000000">
              <w:rPr>
                <w:i w:val="1"/>
                <w:rtl w:val="0"/>
              </w:rPr>
              <w:t xml:space="preserve">The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Story-Telling Animal: How Stories Make Us Human</w:t>
            </w:r>
            <w:r w:rsidDel="00000000" w:rsidR="00000000" w:rsidRPr="00000000">
              <w:rPr>
                <w:rtl w:val="0"/>
              </w:rPr>
              <w:t xml:space="preserve">. Boston: Houghton Mifflin Harcourt, 2012.</w:t>
            </w:r>
          </w:p>
          <w:p w:rsidR="00000000" w:rsidDel="00000000" w:rsidP="00000000" w:rsidRDefault="00000000" w:rsidRPr="00000000" w14:paraId="000000E3">
            <w:pPr>
              <w:spacing w:after="0" w:line="240" w:lineRule="auto"/>
              <w:ind w:left="1400" w:hanging="70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Lodge, David. “Consciousness and the Novel.”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Consciousness and the Novel.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London: Penguin, 2003. 1-91.</w:t>
            </w:r>
          </w:p>
          <w:p w:rsidR="00000000" w:rsidDel="00000000" w:rsidP="00000000" w:rsidRDefault="00000000" w:rsidRPr="00000000" w14:paraId="000000E4">
            <w:pPr>
              <w:spacing w:after="0" w:line="240" w:lineRule="auto"/>
              <w:ind w:left="1400" w:hanging="70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Teske, Joanna Klara. “Sanity, Neurosis and Psychosis in the Modern History of the English Narrative." </w:t>
            </w:r>
            <w:r w:rsidDel="00000000" w:rsidR="00000000" w:rsidRPr="00000000">
              <w:rPr>
                <w:i w:val="1"/>
                <w:rtl w:val="0"/>
              </w:rPr>
              <w:t xml:space="preserve">Kulturowe przedstawienia psychiatrii i chorób psychicznych. Cultural Representations of Psychiatry and Mental Illness.</w:t>
            </w:r>
            <w:r w:rsidDel="00000000" w:rsidR="00000000" w:rsidRPr="00000000">
              <w:rPr>
                <w:rtl w:val="0"/>
              </w:rPr>
              <w:t xml:space="preserve"> Ed. Katarzyna Szmigiero. Piotrków Trybunalski: Naukowe Wydawnictwo Piotrkowskie, 2009. 305-14. </w:t>
            </w:r>
          </w:p>
          <w:p w:rsidR="00000000" w:rsidDel="00000000" w:rsidP="00000000" w:rsidRDefault="00000000" w:rsidRPr="00000000" w14:paraId="000000E5">
            <w:pPr>
              <w:spacing w:after="0" w:line="240" w:lineRule="auto"/>
              <w:ind w:left="1400" w:hanging="70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Winterson, Jeanette. </w:t>
            </w:r>
            <w:r w:rsidDel="00000000" w:rsidR="00000000" w:rsidRPr="00000000">
              <w:rPr>
                <w:i w:val="1"/>
                <w:rtl w:val="0"/>
              </w:rPr>
              <w:t xml:space="preserve">12 Bytes: How Artificial Intelligence Will Change the Way We Live and Love.</w:t>
            </w:r>
            <w:r w:rsidDel="00000000" w:rsidR="00000000" w:rsidRPr="00000000">
              <w:rPr>
                <w:rtl w:val="0"/>
              </w:rPr>
              <w:t xml:space="preserve"> 2021. Vintage, 2022.</w:t>
            </w:r>
          </w:p>
          <w:p w:rsidR="00000000" w:rsidDel="00000000" w:rsidP="00000000" w:rsidRDefault="00000000" w:rsidRPr="00000000" w14:paraId="000000E6">
            <w:pPr>
              <w:spacing w:after="0" w:line="240" w:lineRule="auto"/>
              <w:ind w:hanging="708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ohn,  </w:t>
            </w:r>
          </w:p>
          <w:p w:rsidR="00000000" w:rsidDel="00000000" w:rsidP="00000000" w:rsidRDefault="00000000" w:rsidRPr="00000000" w14:paraId="000000E7">
            <w:pPr>
              <w:spacing w:after="0" w:line="240" w:lineRule="auto"/>
              <w:ind w:hanging="708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8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Literatura uzupełniająca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95.576171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9">
            <w:pPr>
              <w:spacing w:after="0" w:line="240" w:lineRule="auto"/>
              <w:ind w:hanging="72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spacing w:after="0" w:line="240" w:lineRule="auto"/>
              <w:ind w:left="1440" w:hanging="72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Boyd, Brian. </w:t>
            </w:r>
            <w:r w:rsidDel="00000000" w:rsidR="00000000" w:rsidRPr="00000000">
              <w:rPr>
                <w:i w:val="1"/>
                <w:rtl w:val="0"/>
              </w:rPr>
              <w:t xml:space="preserve">On the Origin of Stories. </w:t>
            </w:r>
            <w:r w:rsidDel="00000000" w:rsidR="00000000" w:rsidRPr="00000000">
              <w:rPr>
                <w:rtl w:val="0"/>
              </w:rPr>
              <w:t xml:space="preserve">Harvard UP, 2009.</w:t>
            </w:r>
          </w:p>
          <w:p w:rsidR="00000000" w:rsidDel="00000000" w:rsidP="00000000" w:rsidRDefault="00000000" w:rsidRPr="00000000" w14:paraId="000000EB">
            <w:pPr>
              <w:spacing w:after="0" w:line="240" w:lineRule="auto"/>
              <w:ind w:left="1400" w:hanging="70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Cohn, Dorrit. </w:t>
            </w:r>
            <w:r w:rsidDel="00000000" w:rsidR="00000000" w:rsidRPr="00000000">
              <w:rPr>
                <w:i w:val="1"/>
                <w:rtl w:val="0"/>
              </w:rPr>
              <w:t xml:space="preserve">Transparent Minds: Narrative Modes for Presenting Consciousness in Fiction</w:t>
            </w:r>
            <w:r w:rsidDel="00000000" w:rsidR="00000000" w:rsidRPr="00000000">
              <w:rPr>
                <w:rtl w:val="0"/>
              </w:rPr>
              <w:t xml:space="preserve">. Princeton: Princeton UP, 1978.</w:t>
            </w:r>
          </w:p>
          <w:p w:rsidR="00000000" w:rsidDel="00000000" w:rsidP="00000000" w:rsidRDefault="00000000" w:rsidRPr="00000000" w14:paraId="000000EC">
            <w:pPr>
              <w:spacing w:after="0" w:line="240" w:lineRule="auto"/>
              <w:ind w:left="1400" w:hanging="70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Dutton, Denis. “The Uses of Fiction.” </w:t>
            </w:r>
            <w:r w:rsidDel="00000000" w:rsidR="00000000" w:rsidRPr="00000000">
              <w:rPr>
                <w:i w:val="1"/>
                <w:rtl w:val="0"/>
              </w:rPr>
              <w:t xml:space="preserve">The Art Instinct: Beauty, Pleasure and Human Evolution</w:t>
            </w:r>
            <w:r w:rsidDel="00000000" w:rsidR="00000000" w:rsidRPr="00000000">
              <w:rPr>
                <w:rtl w:val="0"/>
              </w:rPr>
              <w:t xml:space="preserve">. Oxford: Oxford UP, 2009. 103-34.</w:t>
            </w:r>
          </w:p>
          <w:p w:rsidR="00000000" w:rsidDel="00000000" w:rsidP="00000000" w:rsidRDefault="00000000" w:rsidRPr="00000000" w14:paraId="000000ED">
            <w:pPr>
              <w:spacing w:after="0" w:line="240" w:lineRule="auto"/>
              <w:ind w:left="1400" w:hanging="70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Frelik Paweł. “Mind-reading – Science Fiction and Neurosciences.” </w:t>
            </w:r>
            <w:r w:rsidDel="00000000" w:rsidR="00000000" w:rsidRPr="00000000">
              <w:rPr>
                <w:i w:val="1"/>
                <w:rtl w:val="0"/>
              </w:rPr>
              <w:t xml:space="preserve">Science and American Literature in the 20th and 21st Centuries: From Henry Adams to John Adams</w:t>
            </w:r>
            <w:r w:rsidDel="00000000" w:rsidR="00000000" w:rsidRPr="00000000">
              <w:rPr>
                <w:rtl w:val="0"/>
              </w:rPr>
              <w:t xml:space="preserve">. Eds. Claire Maniez, Ronan Ludot Vlasak and Frédéric Dumas. Cambridge: Cambridge Scholars Publishers, 2012. 103-13.</w:t>
            </w:r>
          </w:p>
          <w:p w:rsidR="00000000" w:rsidDel="00000000" w:rsidP="00000000" w:rsidRDefault="00000000" w:rsidRPr="00000000" w14:paraId="000000EE">
            <w:pPr>
              <w:spacing w:after="0" w:line="240" w:lineRule="auto"/>
              <w:ind w:left="1400" w:hanging="70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Herman, David. “Introduction.” </w:t>
            </w:r>
            <w:r w:rsidDel="00000000" w:rsidR="00000000" w:rsidRPr="00000000">
              <w:rPr>
                <w:i w:val="1"/>
                <w:rtl w:val="0"/>
              </w:rPr>
              <w:t xml:space="preserve">The Emergence of Mind: Representations of Consciousness in Narrative Discourse in English. </w:t>
            </w:r>
            <w:r w:rsidDel="00000000" w:rsidR="00000000" w:rsidRPr="00000000">
              <w:rPr>
                <w:rtl w:val="0"/>
              </w:rPr>
              <w:t xml:space="preserve">Ed. David Herman. Lincoln: U of Nebrasca P, 2011. 1-40.</w:t>
            </w:r>
          </w:p>
          <w:p w:rsidR="00000000" w:rsidDel="00000000" w:rsidP="00000000" w:rsidRDefault="00000000" w:rsidRPr="00000000" w14:paraId="000000EF">
            <w:pPr>
              <w:spacing w:after="0" w:line="240" w:lineRule="auto"/>
              <w:ind w:left="1400" w:hanging="70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Humphrey, Robert. </w:t>
            </w:r>
            <w:r w:rsidDel="00000000" w:rsidR="00000000" w:rsidRPr="00000000">
              <w:rPr>
                <w:i w:val="1"/>
                <w:rtl w:val="0"/>
              </w:rPr>
              <w:t xml:space="preserve">Stream of Consciousness in the Modern Novel</w:t>
            </w:r>
            <w:r w:rsidDel="00000000" w:rsidR="00000000" w:rsidRPr="00000000">
              <w:rPr>
                <w:rtl w:val="0"/>
              </w:rPr>
              <w:t xml:space="preserve">. Berkeley: U of California P, 1958.</w:t>
            </w:r>
          </w:p>
          <w:p w:rsidR="00000000" w:rsidDel="00000000" w:rsidP="00000000" w:rsidRDefault="00000000" w:rsidRPr="00000000" w14:paraId="000000F0">
            <w:pPr>
              <w:spacing w:after="0" w:line="240" w:lineRule="auto"/>
              <w:ind w:left="1400" w:hanging="70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Maziarczyk, Grzegorz and Joanna Klara Teske, eds.  </w:t>
            </w:r>
            <w:r w:rsidDel="00000000" w:rsidR="00000000" w:rsidRPr="00000000">
              <w:rPr>
                <w:i w:val="1"/>
                <w:rtl w:val="0"/>
              </w:rPr>
              <w:t xml:space="preserve">Novelistic Inquiries into the Mind</w:t>
            </w:r>
            <w:r w:rsidDel="00000000" w:rsidR="00000000" w:rsidRPr="00000000">
              <w:rPr>
                <w:rtl w:val="0"/>
              </w:rPr>
              <w:t xml:space="preserve">. Newcastle upon Tyne: Cambridge Scholars Publishing, 2016.</w:t>
            </w:r>
          </w:p>
          <w:p w:rsidR="00000000" w:rsidDel="00000000" w:rsidP="00000000" w:rsidRDefault="00000000" w:rsidRPr="00000000" w14:paraId="000000F1">
            <w:pPr>
              <w:spacing w:after="0" w:line="240" w:lineRule="auto"/>
              <w:ind w:left="1400" w:hanging="70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---.  </w:t>
            </w:r>
            <w:r w:rsidDel="00000000" w:rsidR="00000000" w:rsidRPr="00000000">
              <w:rPr>
                <w:i w:val="1"/>
                <w:rtl w:val="0"/>
              </w:rPr>
              <w:t xml:space="preserve">Explorations of Consciousness in Contemporary Fiction</w:t>
            </w:r>
            <w:r w:rsidDel="00000000" w:rsidR="00000000" w:rsidRPr="00000000">
              <w:rPr>
                <w:rtl w:val="0"/>
              </w:rPr>
              <w:t xml:space="preserve">. Leiden: Brill, 2017.</w:t>
            </w:r>
          </w:p>
          <w:p w:rsidR="00000000" w:rsidDel="00000000" w:rsidP="00000000" w:rsidRDefault="00000000" w:rsidRPr="00000000" w14:paraId="000000F2">
            <w:pPr>
              <w:spacing w:after="0" w:line="240" w:lineRule="auto"/>
              <w:ind w:left="1400" w:hanging="70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Palmer, Alan. </w:t>
            </w:r>
            <w:r w:rsidDel="00000000" w:rsidR="00000000" w:rsidRPr="00000000">
              <w:rPr>
                <w:i w:val="1"/>
                <w:rtl w:val="0"/>
              </w:rPr>
              <w:t xml:space="preserve">Fictional Minds.</w:t>
            </w:r>
            <w:r w:rsidDel="00000000" w:rsidR="00000000" w:rsidRPr="00000000">
              <w:rPr>
                <w:rtl w:val="0"/>
              </w:rPr>
              <w:t xml:space="preserve"> Lincoln: U of Nebrasca P, 2004.</w:t>
            </w:r>
          </w:p>
          <w:p w:rsidR="00000000" w:rsidDel="00000000" w:rsidP="00000000" w:rsidRDefault="00000000" w:rsidRPr="00000000" w14:paraId="000000F3">
            <w:pPr>
              <w:spacing w:after="0" w:before="0" w:line="240" w:lineRule="auto"/>
              <w:ind w:left="1400" w:hanging="70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Richardson, Brian. Unnatural </w:t>
            </w:r>
            <w:r w:rsidDel="00000000" w:rsidR="00000000" w:rsidRPr="00000000">
              <w:rPr>
                <w:i w:val="1"/>
                <w:rtl w:val="0"/>
              </w:rPr>
              <w:t xml:space="preserve">Voices: Extreme Narration in Modern and Contemporary Fiction</w:t>
            </w:r>
            <w:r w:rsidDel="00000000" w:rsidR="00000000" w:rsidRPr="00000000">
              <w:rPr>
                <w:rtl w:val="0"/>
              </w:rPr>
              <w:t xml:space="preserve">. Ohio State UP, 2006.</w:t>
            </w:r>
          </w:p>
          <w:p w:rsidR="00000000" w:rsidDel="00000000" w:rsidP="00000000" w:rsidRDefault="00000000" w:rsidRPr="00000000" w14:paraId="000000F4">
            <w:pPr>
              <w:spacing w:after="0" w:line="240" w:lineRule="auto"/>
              <w:ind w:left="1400" w:hanging="70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Searle, John R. </w:t>
            </w:r>
            <w:r w:rsidDel="00000000" w:rsidR="00000000" w:rsidRPr="00000000">
              <w:rPr>
                <w:i w:val="1"/>
                <w:rtl w:val="0"/>
              </w:rPr>
              <w:t xml:space="preserve">Mind: A Brief Introduction. </w:t>
            </w:r>
            <w:r w:rsidDel="00000000" w:rsidR="00000000" w:rsidRPr="00000000">
              <w:rPr>
                <w:rtl w:val="0"/>
              </w:rPr>
              <w:t xml:space="preserve">Oxford: Oxford UP, 2004.</w:t>
            </w:r>
          </w:p>
          <w:p w:rsidR="00000000" w:rsidDel="00000000" w:rsidP="00000000" w:rsidRDefault="00000000" w:rsidRPr="00000000" w14:paraId="000000F5">
            <w:pPr>
              <w:spacing w:after="0" w:line="240" w:lineRule="auto"/>
              <w:ind w:left="1400" w:hanging="70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Teske, Joanna Klara. “Cognitive Strategies of Realist, Modernist and Postmodern Fiction.” </w:t>
            </w:r>
            <w:r w:rsidDel="00000000" w:rsidR="00000000" w:rsidRPr="00000000">
              <w:rPr>
                <w:i w:val="1"/>
                <w:rtl w:val="0"/>
              </w:rPr>
              <w:t xml:space="preserve">Golden Epochs and Dark Ages: Perspectives on the Past</w:t>
            </w:r>
            <w:r w:rsidDel="00000000" w:rsidR="00000000" w:rsidRPr="00000000">
              <w:rPr>
                <w:rtl w:val="0"/>
              </w:rPr>
              <w:t xml:space="preserve">. Lublin: KUL Publishing House, 2016. 195-216.</w:t>
            </w:r>
          </w:p>
          <w:p w:rsidR="00000000" w:rsidDel="00000000" w:rsidP="00000000" w:rsidRDefault="00000000" w:rsidRPr="00000000" w14:paraId="000000F6">
            <w:pPr>
              <w:spacing w:after="0" w:line="240" w:lineRule="auto"/>
              <w:ind w:left="1400" w:hanging="70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Teske, Joanna Klara and Arkadiusz Gut. “The Reader’s Mindreading of Realist, Modernist, and Postmodern Fiction: A Comparative Study.” </w:t>
            </w:r>
            <w:r w:rsidDel="00000000" w:rsidR="00000000" w:rsidRPr="00000000">
              <w:rPr>
                <w:i w:val="1"/>
                <w:rtl w:val="0"/>
              </w:rPr>
              <w:t xml:space="preserve">Narrative</w:t>
            </w:r>
            <w:r w:rsidDel="00000000" w:rsidR="00000000" w:rsidRPr="00000000">
              <w:rPr>
                <w:rtl w:val="0"/>
              </w:rPr>
              <w:t xml:space="preserve">  29.1 (2021): 47-70.</w:t>
            </w:r>
          </w:p>
          <w:p w:rsidR="00000000" w:rsidDel="00000000" w:rsidP="00000000" w:rsidRDefault="00000000" w:rsidRPr="00000000" w14:paraId="000000F7">
            <w:pPr>
              <w:spacing w:after="0" w:line="240" w:lineRule="auto"/>
              <w:ind w:hanging="72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spacing w:after="0" w:line="240" w:lineRule="auto"/>
              <w:ind w:hanging="708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upperRoman"/>
      <w:lvlText w:val="%1."/>
      <w:lvlJc w:val="righ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5"/>
      <w:numFmt w:val="upperRoman"/>
      <w:lvlText w:val="%1."/>
      <w:lvlJc w:val="righ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6"/>
      <w:numFmt w:val="upperRoman"/>
      <w:lvlText w:val="%1."/>
      <w:lvlJc w:val="righ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7"/>
      <w:numFmt w:val="upperRoman"/>
      <w:lvlText w:val="%1."/>
      <w:lvlJc w:val="righ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8"/>
      <w:numFmt w:val="upperRoman"/>
      <w:lvlText w:val="%1."/>
      <w:lvlJc w:val="righ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6">
    <w:lvl w:ilvl="0">
      <w:start w:val="0"/>
      <w:numFmt w:val="upperRoman"/>
      <w:lvlText w:val="%1."/>
      <w:lvlJc w:val="righ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7">
    <w:lvl w:ilvl="0">
      <w:start w:val="2"/>
      <w:numFmt w:val="upperRoman"/>
      <w:lvlText w:val="%1."/>
      <w:lvlJc w:val="righ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8">
    <w:lvl w:ilvl="0">
      <w:start w:val="3"/>
      <w:numFmt w:val="upperRoman"/>
      <w:lvlText w:val="%1."/>
      <w:lvlJc w:val="righ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412F2C"/>
    <w:rPr>
      <w:lang w:val="en-GB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ormalnyWeb">
    <w:name w:val="Normal (Web)"/>
    <w:basedOn w:val="Normalny"/>
    <w:uiPriority w:val="99"/>
    <w:unhideWhenUsed w:val="1"/>
    <w:rsid w:val="00380A75"/>
    <w:pPr>
      <w:spacing w:after="100" w:afterAutospacing="1" w:before="100" w:beforeAutospacing="1" w:line="240" w:lineRule="auto"/>
    </w:pPr>
    <w:rPr>
      <w:rFonts w:eastAsia="Times New Roman"/>
      <w:lang w:eastAsia="pl-PL" w:val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7IByweL5dxUocObuf61hIdYtqA==">CgMxLjA4AHIhMXNrZkJFcUdFemNvR0pKOVIyVE5sYzBleHJadlBqQ21I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2023-02-22T17:43:00Z</dcterms:created>
  <dc:creator>Joanna Teske</dc:creator>
</cp:coreProperties>
</file>