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682.0" w:type="dxa"/>
        <w:jc w:val="left"/>
        <w:tblInd w:w="3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5137"/>
        <w:tblGridChange w:id="0">
          <w:tblGrid>
            <w:gridCol w:w="4545"/>
            <w:gridCol w:w="51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Kulturoznawstwo angielskiego obszaru językowego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Culture of the English Linguistic Sphere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2.0" w:type="dxa"/>
        <w:jc w:val="left"/>
        <w:tblInd w:w="3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5134"/>
        <w:tblGridChange w:id="0">
          <w:tblGrid>
            <w:gridCol w:w="4548"/>
            <w:gridCol w:w="513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Mark Ó Fionnáin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2.0" w:type="dxa"/>
        <w:jc w:val="left"/>
        <w:tblInd w:w="3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97"/>
        <w:gridCol w:w="2368"/>
        <w:gridCol w:w="2372"/>
        <w:gridCol w:w="2495"/>
        <w:tblGridChange w:id="0">
          <w:tblGrid>
            <w:gridCol w:w="2397"/>
            <w:gridCol w:w="2368"/>
            <w:gridCol w:w="2372"/>
            <w:gridCol w:w="249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I-IV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7.0" w:type="dxa"/>
        <w:jc w:val="left"/>
        <w:tblInd w:w="34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3"/>
        <w:gridCol w:w="7444"/>
        <w:tblGridChange w:id="0">
          <w:tblGrid>
            <w:gridCol w:w="2233"/>
            <w:gridCol w:w="744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Bardzo dobra znajomość języka angielskiego: B2+/C1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ind w:left="241" w:hanging="24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82.0" w:type="dxa"/>
        <w:jc w:val="left"/>
        <w:tblInd w:w="3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82"/>
        <w:tblGridChange w:id="0">
          <w:tblGrid>
            <w:gridCol w:w="968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Przekazanie zasad pisania pracy magisterskiej i wybór tematów prac zgodnie z zainteresowaniami i kompetencjami studentów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Pogłębienie wiedzy i sprawności studentów z zakresu kulturoznawstwa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Napisanie i przedstawienie samodzielnie napisanej pracy magisterskiej na podstawie własnych badań, eksperymentów, ankiet, analiz oraz przeprowadzonych projektów badawczych a także w oparciu o istniejącą literaturę z wybranej dziedziny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9667.0" w:type="dxa"/>
        <w:jc w:val="left"/>
        <w:tblInd w:w="35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5830"/>
        <w:gridCol w:w="2743"/>
        <w:tblGridChange w:id="0">
          <w:tblGrid>
            <w:gridCol w:w="1094"/>
            <w:gridCol w:w="5830"/>
            <w:gridCol w:w="2743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porządkuje swoją wiedzę o aspektach kultur krajów anglojęzycznych.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rolę seminarium magisterskiego jako istotnego elementu w procesie przygotowania do dalszej działalności zawodowej.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wymienia i definuje pojęcia z zakresu prawa autorskiego.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wyszukuje, analizuje i ocenia materiał badawczy na temat problemów i wyprowadza wnioski w zakresie kulturoznawstwa anglojęzycznych.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stosuje złożone konstrukcje gramatyczne i stylistyczne w języku angielskim na poziomie B2+/C1.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precyzyjnie i poprawnie logicznie argumentuje sądy, porządkuje i testuje hipotezy w formie pisemnej i wyraża swoje myśli i poglądy w języku angielskim.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merytorycznie argumentuje, przedstawia i ocenia różne opinie i stanowiska oraz formułuje wnioski, tworzy syntetyczne podsumowania bazując na materiale badawczym.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samodzielnie porządkuje, weryfikuje i opracowuje materiał badawczy z zakresu języka angielskiego oraz znajomość literatury i kultury krajów anglojęzycznych.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zachowuje otwartość na krytykę swoich działań w zakresie pracy nad rozprawą magisterską, i zachowuje krytycyzm w stosunku do źródeł.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stosuje się do ustaleń z prowadzącym pracę i dąży do zniwelowania własnych luk kompetencyjnych.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przestrzega zasad etycznych w zakresie prawa autorskiego, wykazuje odpowiedzialność za swoją pracę.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9682.0" w:type="dxa"/>
        <w:jc w:val="left"/>
        <w:tblInd w:w="3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82"/>
        <w:tblGridChange w:id="0">
          <w:tblGrid>
            <w:gridCol w:w="9682"/>
          </w:tblGrid>
        </w:tblGridChange>
      </w:tblGrid>
      <w:tr>
        <w:trPr>
          <w:cantSplit w:val="0"/>
          <w:trHeight w:val="2049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hd w:fill="ffffff" w:val="clear"/>
              <w:spacing w:after="2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I-II</w:t>
            </w:r>
          </w:p>
          <w:p w:rsidR="00000000" w:rsidDel="00000000" w:rsidP="00000000" w:rsidRDefault="00000000" w:rsidRPr="00000000" w14:paraId="00000087">
            <w:pPr>
              <w:shd w:fill="ffffff" w:val="clear"/>
              <w:spacing w:after="2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danych. Praca z tekstem historycznym. Techniki pisania pracy dyplomowej.</w:t>
            </w:r>
          </w:p>
          <w:p w:rsidR="00000000" w:rsidDel="00000000" w:rsidP="00000000" w:rsidRDefault="00000000" w:rsidRPr="00000000" w14:paraId="00000088">
            <w:pPr>
              <w:shd w:fill="ffffff" w:val="clear"/>
              <w:spacing w:after="2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II-IV  </w:t>
            </w:r>
          </w:p>
          <w:p w:rsidR="00000000" w:rsidDel="00000000" w:rsidP="00000000" w:rsidRDefault="00000000" w:rsidRPr="00000000" w14:paraId="00000089">
            <w:pPr>
              <w:shd w:fill="ffffff" w:val="clear"/>
              <w:spacing w:after="200"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wokół wybranych przez seminarzystów tematów prac magisterskich.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Bdr>
          <w:top w:space="0" w:sz="0" w:val="nil"/>
        </w:pBd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632.0" w:type="dxa"/>
        <w:jc w:val="left"/>
        <w:tblInd w:w="3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46"/>
        <w:gridCol w:w="2775"/>
        <w:gridCol w:w="2915"/>
        <w:gridCol w:w="2796"/>
        <w:tblGridChange w:id="0">
          <w:tblGrid>
            <w:gridCol w:w="1146"/>
            <w:gridCol w:w="2775"/>
            <w:gridCol w:w="2915"/>
            <w:gridCol w:w="2796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Sprawdzony fragment pracy magisterskiej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Sprawdzony fragment pracy magisterskiej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magisterska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magisterska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magisterska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magisterska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magisterska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kierunkiem,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20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magisterska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284" w:firstLine="0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Warunkiem uzyskania zaliczenia w poszczególnych semestrach jest przedstawienie planu pracy w I semestrze i pierwszego rozdziału w II semestrze, kolejnych rozdziałów w kolejnych semestrach, oraz całej pracy w IV semestrze.</w:t>
      </w:r>
    </w:p>
    <w:p w:rsidR="00000000" w:rsidDel="00000000" w:rsidP="00000000" w:rsidRDefault="00000000" w:rsidRPr="00000000" w14:paraId="000000D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9682.0" w:type="dxa"/>
        <w:jc w:val="left"/>
        <w:tblInd w:w="3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5144"/>
        <w:tblGridChange w:id="0">
          <w:tblGrid>
            <w:gridCol w:w="4538"/>
            <w:gridCol w:w="514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682.0" w:type="dxa"/>
        <w:jc w:val="left"/>
        <w:tblInd w:w="3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82"/>
        <w:tblGridChange w:id="0">
          <w:tblGrid>
            <w:gridCol w:w="968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Lawrence Grossberg, Cary Nelson, Paula Treichler,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Cultural Studies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London: Routledge, 1999.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John Storey,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 Introduction to Cultural Theory and Popular Culture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London: Prentice Hall, 1997.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Anna Gray, Jim McGuigan,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Studying Culture. An Introductory Reader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London: Arnold, 1993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Jane Stokes,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to do Media and Cultural Studies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London: Sage Publications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Stuart Hall (ed.)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REPRESENTATION: Cultural Representations and Signifying Practices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London: Sage Publications, 1997.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Benedict Anderson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Imagined Communities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London: Verso, 2006.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Hayden White,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Metahistory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Baltimore&amp;London: The Johns Hopkins University Press, 1975. David Carr, Time,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Narrative and History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Indiana University Press. 1991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Materiały autorskie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widowControl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51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51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51"/>
      </w:pPr>
      <w:rPr>
        <w:b w:val="1"/>
        <w:smallCaps w:val="0"/>
        <w:strike w:val="0"/>
        <w:color w:val="000000"/>
        <w:sz w:val="24"/>
        <w:szCs w:val="24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uppressAutoHyphens w:val="1"/>
    </w:pPr>
    <w:rPr>
      <w:rFonts w:cs="Arial Unicode MS"/>
      <w:color w:val="000000"/>
      <w:kern w:val="1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A" w:customStyle="1">
    <w:name w:val="Header &amp; Footer A"/>
    <w:pPr>
      <w:tabs>
        <w:tab w:val="right" w:pos="9020"/>
      </w:tabs>
      <w:suppressAutoHyphens w:val="1"/>
    </w:pPr>
    <w:rPr>
      <w:rFonts w:ascii="Helvetica Neue" w:cs="Arial Unicode MS" w:hAnsi="Helvetica Neue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uppressAutoHyphens w:val="1"/>
      <w:spacing w:after="200" w:line="276" w:lineRule="auto"/>
      <w:ind w:left="720"/>
    </w:pPr>
    <w:rPr>
      <w:rFonts w:cs="Arial Unicode MS"/>
      <w:color w:val="000000"/>
      <w:kern w:val="1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uppressAutoHyphens w:val="1"/>
    </w:pPr>
    <w:rPr>
      <w:rFonts w:cs="Arial Unicode MS"/>
      <w:color w:val="000000"/>
      <w:kern w:val="1"/>
      <w:u w:color="00000a"/>
    </w:rPr>
  </w:style>
  <w:style w:type="paragraph" w:styleId="Default" w:customStyle="1">
    <w:name w:val="Default"/>
    <w:pPr>
      <w:suppressAutoHyphens w:val="1"/>
    </w:pPr>
    <w:rPr>
      <w:rFonts w:cs="Arial Unicode MS"/>
      <w:color w:val="000000"/>
      <w:kern w:val="1"/>
      <w:sz w:val="22"/>
      <w:szCs w:val="22"/>
      <w:u w:color="00000a"/>
    </w:r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6" w:customStyle="1">
    <w:name w:val="Imported Style 6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 w:val="1"/>
    <w:rsid w:val="00ED45D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ED45D5"/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ED45D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ED45D5"/>
    <w:rPr>
      <w:rFonts w:cs="Arial Unicode MS"/>
      <w:color w:val="000000"/>
      <w:kern w:val="1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5q5uEvAukth798P7IWr8OmIQg==">AMUW2mW7w/gtTDht8Wm9Ybx7bFZtNSQ7075QsqLjlxst7n+hya7Y7qoQ5CpAYHMIyaa1P6A0N4Aw0o0X3MoveAjgskH0jgH+imyXFD3NTlTdUcbu3Kg2ca7WNQEQL0aFZHaiEm9i1N/v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2021-09-22T11:43:00Z</dcterms:created>
</cp:coreProperties>
</file>