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Tłumaczenie ustne w zakresie wybranych dziedzin komunikacji specjalistycznej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Interpreting in selected specialized domains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 (magisterskie)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1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Praktyczna znajomość języka angielskiego (C1/C2)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Zaawansowana znajomość języka polskiego (C1)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Umiejętność tłumaczenia konsekutywnego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Zaawansowane umiejętności wyszukiwania informacji 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 niezbędne w procesie tłumaczenia pisemnego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C1 Nabycie umiejętności tłumaczenia symultanicznego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C2 Nabycie umiejętności analizy oraz streszczenia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C3 Umiejętność pracy w różnych zakresach tematycznych w języku ojczystym i obcym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C4 Wstępne przygotowanie do pracy tłumacza ustnego w zakresie wybranych dziedzin komunikacji specjalistycznej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C5 Wyposażenie uczestników w narzędzia samoregulacji i dalszego samokształcenia do pracy tłumacza ustnego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20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261"/>
        <w:tblGridChange w:id="0">
          <w:tblGrid>
            <w:gridCol w:w="1083"/>
            <w:gridCol w:w="5858"/>
            <w:gridCol w:w="2261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identyfikuje techniki tłumaczeniowe w różnych rodzajach tekstów i zadaniach translacyjnych w odniesieniu do przekładu symultanicznego.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używa właściwych technik przekładu różnych tekstów o charakterze ogólnym i specjalistycznym.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komunikuje się przy wykorzystaniu terminologii specjalistycznej za pomocą różnych kanałów komunikacyjnych.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zachowuje krytycyzm wobec jakości własnego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tłumaczenia, swoich umiejętności i wiedzy merytorycznej.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angażuje się w pogłębianie wiedzy i rozwój kompetencji językowych w kontekście tłumaczenia ustnego.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Student pracuje w zespole tłumaczeniowym w różnych rolach (tłumacz, mówca, adresat tłumaczenia).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 Proces tłumaczenia ustnego - co o nim wiemy? Czym jest tłumaczenie symultaniczne? Czym różni się od tłumaczenia konsekutywnego? </w:t>
            </w:r>
          </w:p>
          <w:p w:rsidR="00000000" w:rsidDel="00000000" w:rsidP="00000000" w:rsidRDefault="00000000" w:rsidRPr="00000000" w14:paraId="00000085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Zasoby poznawcze angażowane w proces tłumaczenia ustnego. </w:t>
            </w:r>
          </w:p>
          <w:p w:rsidR="00000000" w:rsidDel="00000000" w:rsidP="00000000" w:rsidRDefault="00000000" w:rsidRPr="00000000" w14:paraId="00000086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 Wprawki - ćwiczenia wdrażające: shadowing, code-switching, cloze tasks, dual tasks itp. </w:t>
            </w:r>
          </w:p>
          <w:p w:rsidR="00000000" w:rsidDel="00000000" w:rsidP="00000000" w:rsidRDefault="00000000" w:rsidRPr="00000000" w14:paraId="00000087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Ćwiczenia praktyczne - etap I: materiały audio, zmiany kierunku tłumaczenia, obserwacja procesów, auto-ewaluacja uczestników (portfolio). </w:t>
            </w:r>
          </w:p>
          <w:p w:rsidR="00000000" w:rsidDel="00000000" w:rsidP="00000000" w:rsidRDefault="00000000" w:rsidRPr="00000000" w14:paraId="00000088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 Ćwiczenia praktyczne - etap II: materiały AV, zmiany kierunku tłumaczenia, zaawansowana obserwacja procesów (nagrywanie), auto-ewaluacja i praca własna (nagrywanie) uczestników </w:t>
            </w:r>
          </w:p>
          <w:p w:rsidR="00000000" w:rsidDel="00000000" w:rsidP="00000000" w:rsidRDefault="00000000" w:rsidRPr="00000000" w14:paraId="00000089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 Ćwiczenia praktyczne - etap III: materiały AV oraz symulowane wystąpienia konferencyjne, praktyki obserwacyjne, praca w parach, ewaluacja grupowa </w:t>
            </w:r>
          </w:p>
          <w:p w:rsidR="00000000" w:rsidDel="00000000" w:rsidP="00000000" w:rsidRDefault="00000000" w:rsidRPr="00000000" w14:paraId="0000008A">
            <w:pPr>
              <w:spacing w:after="20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 Imitowanie realnej sytuacji zawodowej: przygotowanie do określonego zagadnienia (praca z glosariuszem), przekazywanie sobie tłumaczenia w parze </w:t>
            </w:r>
          </w:p>
          <w:p w:rsidR="00000000" w:rsidDel="00000000" w:rsidP="00000000" w:rsidRDefault="00000000" w:rsidRPr="00000000" w14:paraId="0000008B">
            <w:pPr>
              <w:spacing w:after="200"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Nagrywanie się i odsłuchiwanie własnych tłumaczeń - indywidualnie, w parach oraz przez prowadzącego plus feedback na podstawie arkusza dostarczonego przez prowadzącego (ze wskazówkami dalszego rozwoju umiejętności)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213.0" w:type="dxa"/>
        <w:jc w:val="left"/>
        <w:tblInd w:w="52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9"/>
        <w:gridCol w:w="2646"/>
        <w:gridCol w:w="2778"/>
        <w:gridCol w:w="2900"/>
        <w:tblGridChange w:id="0">
          <w:tblGrid>
            <w:gridCol w:w="889"/>
            <w:gridCol w:w="2646"/>
            <w:gridCol w:w="2778"/>
            <w:gridCol w:w="2900"/>
          </w:tblGrid>
        </w:tblGridChange>
      </w:tblGrid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213.0" w:type="dxa"/>
        <w:jc w:val="left"/>
        <w:tblInd w:w="52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89"/>
        <w:gridCol w:w="2646"/>
        <w:gridCol w:w="2778"/>
        <w:gridCol w:w="2900"/>
        <w:tblGridChange w:id="0">
          <w:tblGrid>
            <w:gridCol w:w="889"/>
            <w:gridCol w:w="2646"/>
            <w:gridCol w:w="2778"/>
            <w:gridCol w:w="2900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widowControl w:val="0"/>
        <w:tabs>
          <w:tab w:val="left" w:leader="none" w:pos="70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-5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 (przygotowanie ustne i tłumaczenie ustne newsów, przemówień na wybrane tematy, nagranych wcześniej przemówień, przygotowanie glosariuszy), stopień zaawansowania i poprawności językowej i postęp w tłumaczeniu ustnym. 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-57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ma obowiązek na każde zajęcia (stacjonarne i online) być zaopatrzony w działające prawidłowo słuchawki oraz dyktafon w celu nagrania i odsłuchania własnego tłumaczenia. </w:t>
      </w:r>
    </w:p>
    <w:p w:rsidR="00000000" w:rsidDel="00000000" w:rsidP="00000000" w:rsidRDefault="00000000" w:rsidRPr="00000000" w14:paraId="000000CA">
      <w:pPr>
        <w:spacing w:after="100" w:before="1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przypadku zajęć online: Dodatkowo student ma obowiązek podczas każdych zajęć używać działających prawidłowo kamery, mikrofonu oraz słuchawek.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-57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jest kompletne wypełnienie i przesłanie portfolio tłumaczeniowego (mającego na celu auto-ewaluację postępów studenta) według instrukcji prowadzącego, a także przesłanie nagrań tłumaczeń oraz glosariuszy.  </w:t>
      </w:r>
    </w:p>
    <w:p w:rsidR="00000000" w:rsidDel="00000000" w:rsidP="00000000" w:rsidRDefault="00000000" w:rsidRPr="00000000" w14:paraId="000000CC">
      <w:pPr>
        <w:spacing w:after="100" w:before="100"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Jeśli student przedstawi swoje tłumaczenie, które zostało w istotnym stopniu stworzone przez translator internetowy, skutkuje to otrzymaniem za tę pracę oceny niedostatecznej bez możliwości poprawy.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-43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  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 godzin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Giles, D. 2009. Basic Concepts and Models for Interpreter and Translator Training.</w:t>
            </w:r>
          </w:p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Gilles, Andrew. 2001. Conference Interpreting: A Student's Companion. Tertium: Kraków. </w:t>
            </w:r>
          </w:p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2007. Przekład ustny konferencyjny.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Gambier, Yves, Gile, Daniel i Christopher Tylor. 1997. Conference Interpreting. Amsterdam: John Benjamins </w:t>
            </w:r>
          </w:p>
          <w:p w:rsidR="00000000" w:rsidDel="00000000" w:rsidP="00000000" w:rsidRDefault="00000000" w:rsidRPr="00000000" w14:paraId="000000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Roderick. 2002. Conference Interpreting Explained. Manchester: St. Jerome. </w:t>
            </w:r>
          </w:p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Korzeniowska, A. 2005. Successful Polish-English translation. Warszawa: Wydaw. Naukowe PWN. </w:t>
            </w:r>
          </w:p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Seleskovitch, Danica. 1989. Teaching Conference Interpreting. w: Krawutschke, Peter W. (red.) Translator and Intepreter Training and Foreign Language Pedagogy. Amsterdam / Binghamton: John Benjamins / ATA. </w:t>
            </w:r>
          </w:p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Setton, Robin i Adrew Dawrant. 2016. Conference Interpreting: A Complete Course. Amsterdam / Philadelphia: John Benjamins.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Tryuk, M. 2006. Przekład ustny środowiskowy. Warszawa : Wydawnictwo Naukowe PWN.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widowControl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Załącznik nr.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56019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60195"/>
    <w:rPr>
      <w:rFonts w:cs="Arial Unicode MS"/>
      <w:color w:val="000000"/>
      <w:sz w:val="24"/>
      <w:szCs w:val="24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ZIeGxXZZo2CGgJLRsWr/Wp8TGQ==">CgMxLjAyCGguZ2pkZ3hzOAByITFwVEVZVXJlckUxZUpvMVpuMXdiUUFFNWU3V1dPNkx1UA==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2021-09-22T13:02:00Z</dcterms:created>
</cp:coreProperties>
</file>