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A42A01" w:rsidRPr="00E407F3" w:rsidTr="006B049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01" w:rsidRPr="00E407F3" w:rsidRDefault="00A42A01" w:rsidP="006B049B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01" w:rsidRPr="00E407F3" w:rsidRDefault="00A42A01" w:rsidP="006B049B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A42A01" w:rsidRPr="00E407F3" w:rsidTr="006B049B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01" w:rsidRPr="00E407F3" w:rsidRDefault="00A42A01" w:rsidP="006B04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01" w:rsidRPr="00E407F3" w:rsidRDefault="00A42A01" w:rsidP="006B04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A42A01" w:rsidRPr="00E407F3" w:rsidRDefault="00A42A01" w:rsidP="006B04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 – studia stacjonarne I stopnia (II rok)</w:t>
            </w:r>
          </w:p>
        </w:tc>
      </w:tr>
      <w:tr w:rsidR="00A42A01" w:rsidRPr="00E407F3" w:rsidTr="006B049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01" w:rsidRPr="00E407F3" w:rsidRDefault="00A42A01" w:rsidP="006B04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01" w:rsidRPr="00E407F3" w:rsidRDefault="00A42A01" w:rsidP="006B049B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A01" w:rsidRPr="00E407F3" w:rsidRDefault="00A42A01" w:rsidP="006B049B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01">
              <w:rPr>
                <w:rFonts w:ascii="Times New Roman" w:hAnsi="Times New Roman"/>
                <w:b/>
                <w:sz w:val="24"/>
                <w:szCs w:val="24"/>
              </w:rPr>
              <w:t>Chrześcijaństwo w kulturze Europy nowożytnej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wykład</w:t>
            </w:r>
          </w:p>
        </w:tc>
      </w:tr>
      <w:tr w:rsidR="00A42A01" w:rsidRPr="00E407F3" w:rsidTr="006B049B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01" w:rsidRPr="00E407F3" w:rsidRDefault="00A42A01" w:rsidP="006B04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E407F3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01" w:rsidRPr="00E407F3" w:rsidRDefault="00A42A01" w:rsidP="006B04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A42A01" w:rsidRPr="00E407F3" w:rsidRDefault="00A42A01" w:rsidP="006B04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A42A01" w:rsidRPr="00E407F3" w:rsidRDefault="00A42A01" w:rsidP="006B04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W</w:t>
            </w:r>
            <w:r w:rsidRPr="00A42A01">
              <w:rPr>
                <w:rFonts w:ascii="Times New Roman" w:eastAsia="Garamond" w:hAnsi="Times New Roman"/>
                <w:sz w:val="24"/>
                <w:szCs w:val="24"/>
              </w:rPr>
              <w:t>iedza ogólna z zakresu historii średniowiecza</w:t>
            </w:r>
          </w:p>
        </w:tc>
      </w:tr>
      <w:tr w:rsidR="00A42A01" w:rsidRPr="00E407F3" w:rsidTr="006B049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01" w:rsidRPr="00E407F3" w:rsidRDefault="00A42A01" w:rsidP="006B04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01" w:rsidRPr="00E407F3" w:rsidRDefault="00A42A01" w:rsidP="006B049B">
            <w:pPr>
              <w:autoSpaceDE w:val="0"/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A42A01" w:rsidRPr="00E407F3" w:rsidRDefault="00A42A01" w:rsidP="006B04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30</w:t>
            </w:r>
          </w:p>
        </w:tc>
      </w:tr>
      <w:tr w:rsidR="00A42A01" w:rsidRPr="00E407F3" w:rsidTr="006B049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01" w:rsidRPr="00E407F3" w:rsidRDefault="00A42A01" w:rsidP="006B04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01" w:rsidRPr="00E407F3" w:rsidRDefault="00A42A01" w:rsidP="006B04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2/2</w:t>
            </w:r>
          </w:p>
        </w:tc>
      </w:tr>
      <w:tr w:rsidR="00A42A01" w:rsidRPr="00E407F3" w:rsidTr="006B049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01" w:rsidRPr="00E407F3" w:rsidRDefault="00A42A01" w:rsidP="006B04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E4E" w:rsidRPr="00A11E4E" w:rsidRDefault="00A11E4E" w:rsidP="00A11E4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A11E4E">
              <w:rPr>
                <w:rFonts w:ascii="Times New Roman" w:eastAsia="Garamond" w:hAnsi="Times New Roman"/>
                <w:bCs/>
                <w:sz w:val="24"/>
                <w:szCs w:val="24"/>
              </w:rPr>
              <w:t>Głównym celem zajęć jest wprowadzenie studenta w problematykę dotyczącą miejsca kultury religijnej i wyznań chrześcijańskich w życiu państw oraz społeczeństw nowożytnej Europy. Po ukończeniu kursu student powinien zdefiniować oraz określić najważniejsze obszary oddziaływania kultury religijnej w Europie nowożytnej. Zachodzące w nowożytności przemiany religijne student winien odnosić do szerszych zjawisk społecznych.</w:t>
            </w:r>
          </w:p>
          <w:p w:rsidR="00A42A01" w:rsidRDefault="00A11E4E" w:rsidP="00A11E4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A11E4E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W ramach zajęć student poznaje podstawowe pojęcia z historii religijnej Europy, np. reformacja, kontrreformacja, reforma Kościoła, protestantyzm, </w:t>
            </w:r>
            <w:proofErr w:type="spellStart"/>
            <w:r w:rsidRPr="00A11E4E">
              <w:rPr>
                <w:rFonts w:ascii="Times New Roman" w:eastAsia="Garamond" w:hAnsi="Times New Roman"/>
                <w:bCs/>
                <w:sz w:val="24"/>
                <w:szCs w:val="24"/>
              </w:rPr>
              <w:t>konfesjonalizacja</w:t>
            </w:r>
            <w:proofErr w:type="spellEnd"/>
            <w:r w:rsidRPr="00A11E4E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, humanizm chrześcijański itp. Poznaje zmiany na mapie wyznaniowej Europy nowożytnej oraz okoliczności i przyczyny tych zmian. Zostaje zaznajomiony z wpływem chrześcijaństwa na różne elementy życia państwowego i społecznego: ustrój i prawo, ekonomia, edukacja, sztuka itp. Poznaje postawy religijne najważniejszych i najbardziej wpływowych myślicieli nowożytności, np. Niccolo </w:t>
            </w:r>
            <w:proofErr w:type="spellStart"/>
            <w:r w:rsidRPr="00A11E4E">
              <w:rPr>
                <w:rFonts w:ascii="Times New Roman" w:eastAsia="Garamond" w:hAnsi="Times New Roman"/>
                <w:bCs/>
                <w:sz w:val="24"/>
                <w:szCs w:val="24"/>
              </w:rPr>
              <w:t>Macchiavelli</w:t>
            </w:r>
            <w:proofErr w:type="spellEnd"/>
            <w:r w:rsidRPr="00A11E4E">
              <w:rPr>
                <w:rFonts w:ascii="Times New Roman" w:eastAsia="Garamond" w:hAnsi="Times New Roman"/>
                <w:bCs/>
                <w:sz w:val="24"/>
                <w:szCs w:val="24"/>
              </w:rPr>
              <w:t>, Erazm z Rotterdamu itp. wraz z odniesieniem trwałość zachodzących w nowożytności zmian do współczesnej sytuacji w Europie (reformacja).</w:t>
            </w:r>
          </w:p>
          <w:p w:rsidR="00A11E4E" w:rsidRPr="00E407F3" w:rsidRDefault="00A11E4E" w:rsidP="00A11E4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</w:tc>
      </w:tr>
      <w:tr w:rsidR="00A42A01" w:rsidRPr="00E407F3" w:rsidTr="006B049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01" w:rsidRPr="00E407F3" w:rsidRDefault="00A42A01" w:rsidP="006B04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01" w:rsidRPr="00E407F3" w:rsidRDefault="00A11E4E" w:rsidP="006B04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M</w:t>
            </w:r>
            <w:r w:rsidRPr="00A11E4E">
              <w:rPr>
                <w:rFonts w:ascii="Times New Roman" w:eastAsia="Garamond" w:hAnsi="Times New Roman"/>
                <w:sz w:val="24"/>
                <w:szCs w:val="24"/>
              </w:rPr>
              <w:t>etody i pomoce dydaktyczne: wykład prowadzony przy pomocy materiału kartograficznego oraz metod multimedialnych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</w:p>
        </w:tc>
      </w:tr>
      <w:tr w:rsidR="00A42A01" w:rsidRPr="00E407F3" w:rsidTr="006B049B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01" w:rsidRPr="00E407F3" w:rsidRDefault="00A42A01" w:rsidP="006B04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01" w:rsidRPr="00E407F3" w:rsidRDefault="00A11E4E" w:rsidP="006B04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Zaliczenie bez oceny</w:t>
            </w:r>
          </w:p>
        </w:tc>
      </w:tr>
      <w:tr w:rsidR="00A42A01" w:rsidRPr="00E407F3" w:rsidTr="006B049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01" w:rsidRPr="00E407F3" w:rsidRDefault="00A42A01" w:rsidP="006B04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A01" w:rsidRPr="00E407F3" w:rsidRDefault="00A11E4E" w:rsidP="006B049B">
            <w:pPr>
              <w:rPr>
                <w:rFonts w:ascii="Times New Roman" w:eastAsia="Garamond" w:hAnsi="Times New Roman"/>
                <w:sz w:val="24"/>
                <w:szCs w:val="24"/>
              </w:rPr>
            </w:pPr>
            <w:r w:rsidRPr="00A11E4E">
              <w:rPr>
                <w:rFonts w:ascii="Times New Roman" w:eastAsia="Garamond" w:hAnsi="Times New Roman"/>
                <w:sz w:val="24"/>
                <w:szCs w:val="24"/>
              </w:rPr>
              <w:t xml:space="preserve">Mapa wyznań i religii Europy nowożytnej. Zakony i klasztory w przestrzeni społeczeństwa nowożytnego. Rola parafii i gmin wyznaniowych w organizacji życia społecznego. Reformacja – kontrreformacja – reforma Kościoła. Humanizm i reformacja. Sobór trydencki. Sprawa Galileusza. Hiszpania – kraj inkwizycji i mistyki. Religie i kapitalizm. Religie i kościoły w nowożytnej doktrynie politycznej. </w:t>
            </w:r>
            <w:proofErr w:type="spellStart"/>
            <w:r w:rsidRPr="00A11E4E">
              <w:rPr>
                <w:rFonts w:ascii="Times New Roman" w:eastAsia="Garamond" w:hAnsi="Times New Roman"/>
                <w:sz w:val="24"/>
                <w:szCs w:val="24"/>
              </w:rPr>
              <w:t>Konfesjonalizacja</w:t>
            </w:r>
            <w:proofErr w:type="spellEnd"/>
            <w:r w:rsidRPr="00A11E4E">
              <w:rPr>
                <w:rFonts w:ascii="Times New Roman" w:eastAsia="Garamond" w:hAnsi="Times New Roman"/>
                <w:sz w:val="24"/>
                <w:szCs w:val="24"/>
              </w:rPr>
              <w:t xml:space="preserve">. Gallikanizm – </w:t>
            </w:r>
            <w:proofErr w:type="spellStart"/>
            <w:r w:rsidRPr="00A11E4E">
              <w:rPr>
                <w:rFonts w:ascii="Times New Roman" w:eastAsia="Garamond" w:hAnsi="Times New Roman"/>
                <w:sz w:val="24"/>
                <w:szCs w:val="24"/>
              </w:rPr>
              <w:t>febronianizm</w:t>
            </w:r>
            <w:proofErr w:type="spellEnd"/>
            <w:r w:rsidRPr="00A11E4E">
              <w:rPr>
                <w:rFonts w:ascii="Times New Roman" w:eastAsia="Garamond" w:hAnsi="Times New Roman"/>
                <w:sz w:val="24"/>
                <w:szCs w:val="24"/>
              </w:rPr>
              <w:t xml:space="preserve"> - józefinizm – </w:t>
            </w:r>
            <w:proofErr w:type="spellStart"/>
            <w:r w:rsidRPr="00A11E4E">
              <w:rPr>
                <w:rFonts w:ascii="Times New Roman" w:eastAsia="Garamond" w:hAnsi="Times New Roman"/>
                <w:sz w:val="24"/>
                <w:szCs w:val="24"/>
              </w:rPr>
              <w:t>regalizm</w:t>
            </w:r>
            <w:proofErr w:type="spellEnd"/>
            <w:r w:rsidRPr="00A11E4E">
              <w:rPr>
                <w:rFonts w:ascii="Times New Roman" w:eastAsia="Garamond" w:hAnsi="Times New Roman"/>
                <w:sz w:val="24"/>
                <w:szCs w:val="24"/>
              </w:rPr>
              <w:t xml:space="preserve">. Jansenizm. Oświecenie katolickie i antykatolickie. Narodziny wolnomularstwa nowożytnego. Nowożytna architektura sakralna. Msza i oratorium – dwie wielkie formy muzyki religijnej. Miejsce prawosławia w kulturze europejskiej. Stosunek chrześcijaństwa do innych religii, islamu i </w:t>
            </w:r>
            <w:r w:rsidRPr="00A11E4E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judaizmu: antyjudaizm i antysemityzm. Idea trzeciego Rzymu.</w:t>
            </w:r>
          </w:p>
        </w:tc>
      </w:tr>
      <w:tr w:rsidR="00A42A01" w:rsidRPr="00E407F3" w:rsidTr="006B049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01" w:rsidRPr="00E407F3" w:rsidRDefault="00A42A01" w:rsidP="006B04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01D6">
              <w:rPr>
                <w:rFonts w:ascii="Times New Roman" w:eastAsia="Garamond" w:hAnsi="Times New Roman"/>
                <w:sz w:val="24"/>
                <w:szCs w:val="24"/>
              </w:rPr>
              <w:t>literatura podstawowa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>Delumeau</w:t>
            </w:r>
            <w:proofErr w:type="spellEnd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 xml:space="preserve"> J., Reformy chrześcijaństwa w XVI-XVII wieku, t. 1-2, Warszawa 1986.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01D6">
              <w:rPr>
                <w:rFonts w:ascii="Times New Roman" w:eastAsia="Garamond" w:hAnsi="Times New Roman"/>
                <w:sz w:val="24"/>
                <w:szCs w:val="24"/>
              </w:rPr>
              <w:t>Dawson Ch., Podział chrześcijaństwa na Zachodzie, Warszawa 1967.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01D6">
              <w:rPr>
                <w:rFonts w:ascii="Times New Roman" w:eastAsia="Garamond" w:hAnsi="Times New Roman"/>
                <w:sz w:val="24"/>
                <w:szCs w:val="24"/>
              </w:rPr>
              <w:t>Huizinga J., Erazm, Warszawa 1964.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01D6">
              <w:rPr>
                <w:rFonts w:ascii="Times New Roman" w:eastAsia="Garamond" w:hAnsi="Times New Roman"/>
                <w:sz w:val="24"/>
                <w:szCs w:val="24"/>
              </w:rPr>
              <w:t xml:space="preserve">Historia Kościoła, red. L.J. </w:t>
            </w:r>
            <w:proofErr w:type="spellStart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>Rogier</w:t>
            </w:r>
            <w:proofErr w:type="spellEnd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 xml:space="preserve">, R. </w:t>
            </w:r>
            <w:proofErr w:type="spellStart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>Aubert</w:t>
            </w:r>
            <w:proofErr w:type="spellEnd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 xml:space="preserve">, M.D. </w:t>
            </w:r>
            <w:proofErr w:type="spellStart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>Knowles</w:t>
            </w:r>
            <w:proofErr w:type="spellEnd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>, t. 3: 1500-1715, Warszawa 1986, t. 4: 1715-1848, Warszawa 1987.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01D6">
              <w:rPr>
                <w:rFonts w:ascii="Times New Roman" w:eastAsia="Garamond" w:hAnsi="Times New Roman"/>
                <w:sz w:val="24"/>
                <w:szCs w:val="24"/>
              </w:rPr>
              <w:t>literatura uzupełniająca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01D6">
              <w:rPr>
                <w:rFonts w:ascii="Times New Roman" w:eastAsia="Garamond" w:hAnsi="Times New Roman"/>
                <w:sz w:val="24"/>
                <w:szCs w:val="24"/>
              </w:rPr>
              <w:t>Baroja J.C., Pan Inkwizytor, Lublin 2000.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01D6">
              <w:rPr>
                <w:rFonts w:ascii="Times New Roman" w:eastAsia="Garamond" w:hAnsi="Times New Roman"/>
                <w:sz w:val="24"/>
                <w:szCs w:val="24"/>
              </w:rPr>
              <w:t>Biały L., Dzieje inkwizycji hiszpańskiej, Warszawa 1989.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>Burkhardt</w:t>
            </w:r>
            <w:proofErr w:type="spellEnd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 xml:space="preserve"> J., Stulecie reformacji w Niemczech (1517-1617). Między rewolucją medialną a przełomem instytucjonalnym, Warszawa 2009.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C601D6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Cardini</w:t>
            </w:r>
            <w:proofErr w:type="spellEnd"/>
            <w:r w:rsidRPr="00C601D6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F., Europa a </w:t>
            </w:r>
            <w:proofErr w:type="spellStart"/>
            <w:r w:rsidRPr="00C601D6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islam</w:t>
            </w:r>
            <w:proofErr w:type="spellEnd"/>
            <w:r w:rsidRPr="00C601D6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. </w:t>
            </w:r>
            <w:r w:rsidRPr="00C601D6">
              <w:rPr>
                <w:rFonts w:ascii="Times New Roman" w:eastAsia="Garamond" w:hAnsi="Times New Roman"/>
                <w:sz w:val="24"/>
                <w:szCs w:val="24"/>
              </w:rPr>
              <w:t>Historia nieporozumienia, Kraków 2006.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01D6">
              <w:rPr>
                <w:rFonts w:ascii="Times New Roman" w:eastAsia="Garamond" w:hAnsi="Times New Roman"/>
                <w:sz w:val="24"/>
                <w:szCs w:val="24"/>
              </w:rPr>
              <w:t xml:space="preserve">Cegielski  T., “Ordo in Chao”. </w:t>
            </w:r>
            <w:proofErr w:type="spellStart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>Wolnomulastwo</w:t>
            </w:r>
            <w:proofErr w:type="spellEnd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 xml:space="preserve"> i </w:t>
            </w:r>
            <w:proofErr w:type="spellStart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>swiątopoglądowe</w:t>
            </w:r>
            <w:proofErr w:type="spellEnd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 xml:space="preserve"> kryzysy XVII i XVIII w. – Warszawa, 1994.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01D6">
              <w:rPr>
                <w:rFonts w:ascii="Times New Roman" w:eastAsia="Garamond" w:hAnsi="Times New Roman"/>
                <w:sz w:val="24"/>
                <w:szCs w:val="24"/>
              </w:rPr>
              <w:t>Cywiński B., Ogniem próbowane. Z dziejów najnowszych Kościoła katolickiego w Europie środkowo-wschodniej, t. 1: Korzenie tożsamości, Rzym 1992.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01D6">
              <w:rPr>
                <w:rFonts w:ascii="Times New Roman" w:eastAsia="Garamond" w:hAnsi="Times New Roman"/>
                <w:sz w:val="24"/>
                <w:szCs w:val="24"/>
              </w:rPr>
              <w:t>Elias N., Mozart. Portret geniusza, Warszawa 2006.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01D6">
              <w:rPr>
                <w:rFonts w:ascii="Times New Roman" w:eastAsia="Garamond" w:hAnsi="Times New Roman"/>
                <w:sz w:val="24"/>
                <w:szCs w:val="24"/>
              </w:rPr>
              <w:t>Estreicher K., Historia sztuki w zarysie, Kraków 1990.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01D6">
              <w:rPr>
                <w:rFonts w:ascii="Times New Roman" w:eastAsia="Garamond" w:hAnsi="Times New Roman"/>
                <w:sz w:val="24"/>
                <w:szCs w:val="24"/>
              </w:rPr>
              <w:t xml:space="preserve">Giovanniego Pica </w:t>
            </w:r>
            <w:proofErr w:type="spellStart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>della</w:t>
            </w:r>
            <w:proofErr w:type="spellEnd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 xml:space="preserve"> Mirandola "Mowa" ("</w:t>
            </w:r>
            <w:proofErr w:type="spellStart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>Oratio</w:t>
            </w:r>
            <w:proofErr w:type="spellEnd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>"), przekład i komentarz Leszek Kuczyński, Przegląd Tomistyczny, 5 (1992), s. 155-191.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>Haumann</w:t>
            </w:r>
            <w:proofErr w:type="spellEnd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 xml:space="preserve"> H., Historia Żydów w Europie Środkowej i Wschodniej, Warszawa 1999.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01D6">
              <w:rPr>
                <w:rFonts w:ascii="Times New Roman" w:eastAsia="Garamond" w:hAnsi="Times New Roman"/>
                <w:sz w:val="24"/>
                <w:szCs w:val="24"/>
              </w:rPr>
              <w:t>Historia Europy Środkowo-Wschodniej, red. J, Kłoczowski, t. 1-2, Lublin 2000.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01D6">
              <w:rPr>
                <w:rFonts w:ascii="Times New Roman" w:eastAsia="Garamond" w:hAnsi="Times New Roman"/>
                <w:sz w:val="24"/>
                <w:szCs w:val="24"/>
              </w:rPr>
              <w:t>Kłoczowski J., Chrześcijaństwo i historia. Wokół nurtów reformy chrześcijańskiej VIII-XX wiek, Kraków 1990.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01D6">
              <w:rPr>
                <w:rFonts w:ascii="Times New Roman" w:eastAsia="Garamond" w:hAnsi="Times New Roman"/>
                <w:sz w:val="24"/>
                <w:szCs w:val="24"/>
              </w:rPr>
              <w:t>Litak S., Historia wychowania. t. 1: Do rewolucji francuskiej, Lublin 2010.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>Kriegseisen</w:t>
            </w:r>
            <w:proofErr w:type="spellEnd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 xml:space="preserve"> W., Stosunki wyznaniowe w relacjach państwo-kościół między reformacją a oświeceniem, Warszawa 2011.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01D6">
              <w:rPr>
                <w:rFonts w:ascii="Times New Roman" w:eastAsia="Garamond" w:hAnsi="Times New Roman"/>
                <w:sz w:val="24"/>
                <w:szCs w:val="24"/>
              </w:rPr>
              <w:t>Ligocki A., Sztuka renesansu, Warszawa 1973.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>Namer</w:t>
            </w:r>
            <w:proofErr w:type="spellEnd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 xml:space="preserve"> E., Sprawa Galileusza, Warszawa 1985.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01D6">
              <w:rPr>
                <w:rFonts w:ascii="Times New Roman" w:eastAsia="Garamond" w:hAnsi="Times New Roman"/>
                <w:sz w:val="24"/>
                <w:szCs w:val="24"/>
              </w:rPr>
              <w:t>Niccolo Machiavelli, Wybór pism, Warszawa 1972.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>Poliakov</w:t>
            </w:r>
            <w:proofErr w:type="spellEnd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 xml:space="preserve"> L., Historia antysemityzmu, T 1-2., Kraków 2008.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>Runciman</w:t>
            </w:r>
            <w:proofErr w:type="spellEnd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 xml:space="preserve"> S., Wielki Kościół w niewoli. Studium historyczne patriarchatu konstantynopolitańskiego od czasów bezpośrednio poprzedzających jego podbój przez Turków aż do wybuchu greckiej wojny o niepodległość, przeł. J.S. Łoś, Warszawa 1973.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01D6">
              <w:rPr>
                <w:rFonts w:ascii="Times New Roman" w:eastAsia="Garamond" w:hAnsi="Times New Roman"/>
                <w:sz w:val="24"/>
                <w:szCs w:val="24"/>
              </w:rPr>
              <w:t>Schaeffer B., Dzieje muzyki, Warszawa 1983.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01D6">
              <w:rPr>
                <w:rFonts w:ascii="Times New Roman" w:eastAsia="Garamond" w:hAnsi="Times New Roman"/>
                <w:sz w:val="24"/>
                <w:szCs w:val="24"/>
              </w:rPr>
              <w:t xml:space="preserve">Schilling H., </w:t>
            </w:r>
            <w:proofErr w:type="spellStart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>Konfesjonalizacja</w:t>
            </w:r>
            <w:proofErr w:type="spellEnd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>. Kościół i państwo w Europie doby przednowoczesnej, Poznań 2010.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>Tawney</w:t>
            </w:r>
            <w:proofErr w:type="spellEnd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 xml:space="preserve"> R.H., Religia a powstanie kapitalizmu, Warszawa 1963.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01D6">
              <w:rPr>
                <w:rFonts w:ascii="Times New Roman" w:eastAsia="Garamond" w:hAnsi="Times New Roman"/>
                <w:sz w:val="24"/>
                <w:szCs w:val="24"/>
              </w:rPr>
              <w:t xml:space="preserve">Tomasz </w:t>
            </w:r>
            <w:proofErr w:type="spellStart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>More</w:t>
            </w:r>
            <w:proofErr w:type="spellEnd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 xml:space="preserve">, Pisma więzienne poprzedzone "Żywotem Tomasza </w:t>
            </w:r>
            <w:proofErr w:type="spellStart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>More</w:t>
            </w:r>
            <w:proofErr w:type="spellEnd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 xml:space="preserve">" napisanym przez Williama </w:t>
            </w:r>
            <w:proofErr w:type="spellStart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>Ropera</w:t>
            </w:r>
            <w:proofErr w:type="spellEnd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>, Poznań 1985.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01D6">
              <w:rPr>
                <w:rFonts w:ascii="Times New Roman" w:eastAsia="Garamond" w:hAnsi="Times New Roman"/>
                <w:sz w:val="24"/>
                <w:szCs w:val="24"/>
              </w:rPr>
              <w:t>Weber M., Etyka protestancka a duch kapitalizmu, Lublin 1994.</w:t>
            </w:r>
          </w:p>
          <w:p w:rsidR="00C601D6" w:rsidRPr="00C601D6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>Wojtyska</w:t>
            </w:r>
            <w:proofErr w:type="spellEnd"/>
            <w:r w:rsidRPr="00C601D6">
              <w:rPr>
                <w:rFonts w:ascii="Times New Roman" w:eastAsia="Garamond" w:hAnsi="Times New Roman"/>
                <w:sz w:val="24"/>
                <w:szCs w:val="24"/>
              </w:rPr>
              <w:t xml:space="preserve"> H.D., Reformacja - reforma katolicka - kontrreformacja. Dzieje </w:t>
            </w:r>
            <w:r w:rsidRPr="00C601D6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nomenklatury i próba uściślenia pojęć, „Roczniki Teologiczno-Kanoniczne” 24 (1977), nr 4, 223-249.</w:t>
            </w:r>
          </w:p>
          <w:p w:rsidR="00A42A01" w:rsidRPr="00E407F3" w:rsidRDefault="00C601D6" w:rsidP="00C601D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601D6">
              <w:rPr>
                <w:rFonts w:ascii="Times New Roman" w:eastAsia="Garamond" w:hAnsi="Times New Roman"/>
                <w:sz w:val="24"/>
                <w:szCs w:val="24"/>
              </w:rPr>
              <w:t>Wolff-Powęska A., A bliźniego swego... Kościoły w Niemczech wobec "problemu żydowskiego", Poznań 2003.</w:t>
            </w:r>
          </w:p>
        </w:tc>
      </w:tr>
      <w:tr w:rsidR="00A42A01" w:rsidRPr="00E407F3" w:rsidTr="006B049B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01" w:rsidRPr="00E407F3" w:rsidRDefault="00A42A01" w:rsidP="006B04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1D6" w:rsidRDefault="00C601D6" w:rsidP="006B049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A01" w:rsidRPr="00E407F3" w:rsidRDefault="00C601D6" w:rsidP="006B049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hab. Bogumił Szady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2A01" w:rsidRPr="00E407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A4AD7" w:rsidRDefault="00EA4AD7"/>
    <w:sectPr w:rsidR="00EA4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58"/>
    <w:rsid w:val="00A11E4E"/>
    <w:rsid w:val="00A42A01"/>
    <w:rsid w:val="00C17658"/>
    <w:rsid w:val="00C601D6"/>
    <w:rsid w:val="00EA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A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A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2012-11-29T19:08:00Z</dcterms:created>
  <dcterms:modified xsi:type="dcterms:W3CDTF">2012-11-29T19:11:00Z</dcterms:modified>
</cp:coreProperties>
</file>