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8D7554" w:rsidRPr="00E424AC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Instytut Historii, Wydział Nauk Humanistycznych</w:t>
            </w:r>
          </w:p>
        </w:tc>
      </w:tr>
      <w:tr w:rsidR="008D7554" w:rsidRPr="00E424AC" w:rsidTr="00A66C0F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AC" w:rsidRDefault="00E424AC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</w:p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Historia – studia licencjackie (I-II rok I stopnia)</w:t>
            </w:r>
          </w:p>
        </w:tc>
      </w:tr>
      <w:tr w:rsidR="008D7554" w:rsidRPr="00E424AC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AC" w:rsidRDefault="00E424AC" w:rsidP="00E424AC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7554" w:rsidRPr="00E424AC" w:rsidRDefault="00E424AC" w:rsidP="00E424AC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24AC">
              <w:rPr>
                <w:rFonts w:ascii="Times New Roman" w:hAnsi="Times New Roman"/>
                <w:b/>
              </w:rPr>
              <w:t>Herezja i ortodoksja</w:t>
            </w:r>
            <w:r w:rsidR="00281A28" w:rsidRPr="00E424AC">
              <w:rPr>
                <w:rFonts w:ascii="Times New Roman" w:hAnsi="Times New Roman"/>
                <w:b/>
              </w:rPr>
              <w:t xml:space="preserve"> w średniowiecznej Europie - wykład</w:t>
            </w:r>
          </w:p>
        </w:tc>
      </w:tr>
      <w:tr w:rsidR="008D7554" w:rsidRPr="00E424AC" w:rsidTr="00A66C0F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Przedmioty wprowadzające (</w:t>
            </w:r>
            <w:proofErr w:type="spellStart"/>
            <w:r w:rsidRPr="00E424AC">
              <w:rPr>
                <w:rFonts w:ascii="Times New Roman" w:eastAsia="Garamond" w:hAnsi="Times New Roman"/>
                <w:b/>
                <w:bCs/>
                <w:i/>
              </w:rPr>
              <w:t>prerekwizyty</w:t>
            </w:r>
            <w:proofErr w:type="spellEnd"/>
            <w:r w:rsidRPr="00E424AC">
              <w:rPr>
                <w:rFonts w:ascii="Times New Roman" w:eastAsia="Garamond" w:hAnsi="Times New Roman"/>
                <w:b/>
                <w:bCs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</w:p>
          <w:p w:rsidR="008D7554" w:rsidRPr="00E424AC" w:rsidRDefault="00B74E05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>Brak</w:t>
            </w:r>
          </w:p>
        </w:tc>
      </w:tr>
      <w:tr w:rsidR="008D7554" w:rsidRPr="00E424AC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281A28" w:rsidP="00281A2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hAnsi="Times New Roman"/>
              </w:rPr>
              <w:t>2 x 15</w:t>
            </w:r>
          </w:p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</w:rPr>
            </w:pPr>
          </w:p>
        </w:tc>
      </w:tr>
      <w:tr w:rsidR="008D7554" w:rsidRPr="00E424AC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E424AC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>1</w:t>
            </w:r>
          </w:p>
        </w:tc>
      </w:tr>
      <w:tr w:rsidR="008D7554" w:rsidRPr="00E424AC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</w:rPr>
            </w:pPr>
            <w:r w:rsidRPr="00E424AC">
              <w:rPr>
                <w:rFonts w:ascii="Times New Roman" w:eastAsia="Garamond" w:hAnsi="Times New Roman"/>
                <w:bCs/>
              </w:rPr>
              <w:t xml:space="preserve">  </w:t>
            </w:r>
            <w:r w:rsidR="00B74E05" w:rsidRPr="00E424AC">
              <w:rPr>
                <w:rFonts w:ascii="Times New Roman" w:hAnsi="Times New Roman"/>
              </w:rPr>
              <w:t xml:space="preserve"> </w:t>
            </w:r>
            <w:r w:rsidR="00B74E05" w:rsidRPr="00E424AC">
              <w:rPr>
                <w:rFonts w:ascii="Times New Roman" w:eastAsia="Garamond" w:hAnsi="Times New Roman"/>
                <w:bCs/>
              </w:rPr>
              <w:t>Celem wykładu jest zapoznanie studentów z procesami historycznymi, które miały miejsce w średniowiecznej Europie. Wykład przedstawia najnowsze wyniki międzynarodowych badań naukowych związanych z dziejami średniowiecznej herezji i inkwizycji. Ukazuje nie tyle statyczny obraz działalności instytucji kościelnych odpowiedzialnych za obronę katolickiej ortodoksji, ale dynamiczny proces przemian społeczno-kulturowych, które determinowały różnorodne zjawiska religijne.</w:t>
            </w:r>
          </w:p>
        </w:tc>
      </w:tr>
      <w:tr w:rsidR="008D7554" w:rsidRPr="00E424AC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E424AC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>
              <w:rPr>
                <w:rFonts w:ascii="Times New Roman" w:eastAsia="Garamond" w:hAnsi="Times New Roman"/>
              </w:rPr>
              <w:t>W</w:t>
            </w:r>
            <w:r w:rsidR="00AE7B5D" w:rsidRPr="00E424AC">
              <w:rPr>
                <w:rFonts w:ascii="Times New Roman" w:eastAsia="Garamond" w:hAnsi="Times New Roman"/>
              </w:rPr>
              <w:t>ykład z prezentacją multimedialną</w:t>
            </w:r>
          </w:p>
          <w:p w:rsidR="008D7554" w:rsidRPr="00E424AC" w:rsidRDefault="008D7554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</w:p>
        </w:tc>
      </w:tr>
      <w:tr w:rsidR="008D7554" w:rsidRPr="00E424AC" w:rsidTr="00A66C0F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AE7B5D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>Zaliczenie bez oceny.</w:t>
            </w:r>
          </w:p>
        </w:tc>
      </w:tr>
      <w:tr w:rsidR="008D7554" w:rsidRPr="00E424AC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554" w:rsidRPr="00E424AC" w:rsidRDefault="00B74E05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Wykład ukazuje ewolucję średniowiecznego chrześcijaństwa w okresie od XI do XV wieku. Przedstawia procesy społeczno-religijne, który doprowadziły do uformowania się w średniowiecznej Europie „społeczeństwa prześladowczego”. W ramach zajęć omawiana jest geneza i rozwój najsilniejszych ruchów heterodoksji religijnej, które wstrząsnęły fundamentami średniowiecznego Kościoła, wymuszając większą aktywność duszpasterską, a zarazem wprowadzenie nowych form walki z herezją. Dużo miejsca zostaje poświęconego takim ruchom religijnym jak </w:t>
            </w:r>
            <w:proofErr w:type="spellStart"/>
            <w:r w:rsidRPr="00E424AC">
              <w:rPr>
                <w:rFonts w:ascii="Times New Roman" w:eastAsia="Garamond" w:hAnsi="Times New Roman"/>
              </w:rPr>
              <w:t>kataryzm</w:t>
            </w:r>
            <w:proofErr w:type="spellEnd"/>
            <w:r w:rsidRPr="00E424AC">
              <w:rPr>
                <w:rFonts w:ascii="Times New Roman" w:eastAsia="Garamond" w:hAnsi="Times New Roman"/>
              </w:rPr>
              <w:t xml:space="preserve">, </w:t>
            </w:r>
            <w:proofErr w:type="spellStart"/>
            <w:r w:rsidRPr="00E424AC">
              <w:rPr>
                <w:rFonts w:ascii="Times New Roman" w:eastAsia="Garamond" w:hAnsi="Times New Roman"/>
              </w:rPr>
              <w:t>waldyzm</w:t>
            </w:r>
            <w:proofErr w:type="spellEnd"/>
            <w:r w:rsidRPr="00E424AC">
              <w:rPr>
                <w:rFonts w:ascii="Times New Roman" w:eastAsia="Garamond" w:hAnsi="Times New Roman"/>
              </w:rPr>
              <w:t>, herezja wolnego ducha i husytyzm, które wywarły znaczący wpływa ewolucję średniowiecznego chrześcijaństwa. Omawiane są najważniejsze zagadnienia związane z okolicznościami powstania tych prądów religijnych, ich doktryną, praktykami religijnymi, a także strukturą, zasięgiem geograficznym i społecznym. Równocześnie, wykład przedstawia proces centralizacji władzy w Kościele średniowiecznym, który uczynił z papieży niekwestionowanych przywódców Kościoła katolickiego, najwyższych autorytet w sprawach doktryny i moralności. W ramach zajęć analizowany jest proces wzrostu potęgi papiestwa w XIII wieku, który umożliwił powołanie do życia nowych procedur i instytucji stojących na straży ortodoksji katolickiej. Jednym z jego elementów było powołanie do życia inkwizycji papieskiej, która na wielu obszarach średniowiecznej Europy przejęła ciężar walki z herezją. Z jednej strony celem wykładu jest pokazanie organizacji i metod działania papieskich inkwizytorów, a z drugiej omówienie czarnej legendy „Inkwizycji”, która ukształtowała się w okresie reformacji i znalazła swój wyraz w literaturze pięknej i sztuce.</w:t>
            </w:r>
          </w:p>
        </w:tc>
      </w:tr>
      <w:tr w:rsidR="008D7554" w:rsidRPr="00E424AC" w:rsidTr="00A66C0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</w:rPr>
            </w:pPr>
            <w:r w:rsidRPr="00E424AC">
              <w:rPr>
                <w:rFonts w:ascii="Times New Roman" w:eastAsia="Garamond" w:hAnsi="Times New Roman"/>
                <w:b/>
              </w:rPr>
              <w:t>Podstawowa</w:t>
            </w:r>
            <w:r w:rsidR="00E424AC">
              <w:rPr>
                <w:rFonts w:ascii="Times New Roman" w:eastAsia="Garamond" w:hAnsi="Times New Roman"/>
                <w:b/>
              </w:rPr>
              <w:t>:</w:t>
            </w:r>
            <w:r w:rsidRPr="00E424AC">
              <w:rPr>
                <w:rFonts w:ascii="Times New Roman" w:eastAsia="Garamond" w:hAnsi="Times New Roman"/>
                <w:b/>
              </w:rPr>
              <w:t xml:space="preserve"> 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M. Barber, Katarzy, tł. R. </w:t>
            </w:r>
            <w:proofErr w:type="spellStart"/>
            <w:r w:rsidRPr="00E424AC">
              <w:rPr>
                <w:rFonts w:ascii="Times New Roman" w:eastAsia="Garamond" w:hAnsi="Times New Roman"/>
              </w:rPr>
              <w:t>Sudół,Warszawa</w:t>
            </w:r>
            <w:proofErr w:type="spellEnd"/>
            <w:r w:rsidRPr="00E424AC">
              <w:rPr>
                <w:rFonts w:ascii="Times New Roman" w:eastAsia="Garamond" w:hAnsi="Times New Roman"/>
              </w:rPr>
              <w:t xml:space="preserve"> 2004.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>S. Bylina, Rewolucja husycka. Przedświt i pierwsze lata, Warszawa 2011.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J. </w:t>
            </w:r>
            <w:proofErr w:type="spellStart"/>
            <w:r w:rsidRPr="00E424AC">
              <w:rPr>
                <w:rFonts w:ascii="Times New Roman" w:eastAsia="Garamond" w:hAnsi="Times New Roman"/>
              </w:rPr>
              <w:t>Kracik</w:t>
            </w:r>
            <w:proofErr w:type="spellEnd"/>
            <w:r w:rsidRPr="00E424AC">
              <w:rPr>
                <w:rFonts w:ascii="Times New Roman" w:eastAsia="Garamond" w:hAnsi="Times New Roman"/>
              </w:rPr>
              <w:t>, Święty Kościół grzesznych ludzi, Kraków 1998.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  <w:lang w:val="en-US"/>
              </w:rPr>
              <w:t xml:space="preserve">P. </w:t>
            </w:r>
            <w:proofErr w:type="spellStart"/>
            <w:r w:rsidRPr="00E424AC">
              <w:rPr>
                <w:rFonts w:ascii="Times New Roman" w:eastAsia="Garamond" w:hAnsi="Times New Roman"/>
                <w:lang w:val="en-US"/>
              </w:rPr>
              <w:t>Kras</w:t>
            </w:r>
            <w:proofErr w:type="spellEnd"/>
            <w:r w:rsidRPr="00E424AC">
              <w:rPr>
                <w:rFonts w:ascii="Times New Roman" w:eastAsia="Garamond" w:hAnsi="Times New Roman"/>
                <w:lang w:val="en-US"/>
              </w:rPr>
              <w:t xml:space="preserve">, Ad </w:t>
            </w:r>
            <w:proofErr w:type="spellStart"/>
            <w:r w:rsidRPr="00E424AC">
              <w:rPr>
                <w:rFonts w:ascii="Times New Roman" w:eastAsia="Garamond" w:hAnsi="Times New Roman"/>
                <w:lang w:val="en-US"/>
              </w:rPr>
              <w:t>abolendam</w:t>
            </w:r>
            <w:proofErr w:type="spellEnd"/>
            <w:r w:rsidRPr="00E424AC">
              <w:rPr>
                <w:rFonts w:ascii="Times New Roman" w:eastAsia="Garamond" w:hAnsi="Times New Roman"/>
                <w:lang w:val="en-US"/>
              </w:rPr>
              <w:t xml:space="preserve"> </w:t>
            </w:r>
            <w:proofErr w:type="spellStart"/>
            <w:r w:rsidRPr="00E424AC">
              <w:rPr>
                <w:rFonts w:ascii="Times New Roman" w:eastAsia="Garamond" w:hAnsi="Times New Roman"/>
                <w:lang w:val="en-US"/>
              </w:rPr>
              <w:t>diversarum</w:t>
            </w:r>
            <w:proofErr w:type="spellEnd"/>
            <w:r w:rsidRPr="00E424AC">
              <w:rPr>
                <w:rFonts w:ascii="Times New Roman" w:eastAsia="Garamond" w:hAnsi="Times New Roman"/>
                <w:lang w:val="en-US"/>
              </w:rPr>
              <w:t xml:space="preserve"> </w:t>
            </w:r>
            <w:proofErr w:type="spellStart"/>
            <w:r w:rsidRPr="00E424AC">
              <w:rPr>
                <w:rFonts w:ascii="Times New Roman" w:eastAsia="Garamond" w:hAnsi="Times New Roman"/>
                <w:lang w:val="en-US"/>
              </w:rPr>
              <w:t>haeresium</w:t>
            </w:r>
            <w:proofErr w:type="spellEnd"/>
            <w:r w:rsidRPr="00E424AC">
              <w:rPr>
                <w:rFonts w:ascii="Times New Roman" w:eastAsia="Garamond" w:hAnsi="Times New Roman"/>
                <w:lang w:val="en-US"/>
              </w:rPr>
              <w:t xml:space="preserve"> </w:t>
            </w:r>
            <w:proofErr w:type="spellStart"/>
            <w:r w:rsidRPr="00E424AC">
              <w:rPr>
                <w:rFonts w:ascii="Times New Roman" w:eastAsia="Garamond" w:hAnsi="Times New Roman"/>
                <w:lang w:val="en-US"/>
              </w:rPr>
              <w:t>pravitatem</w:t>
            </w:r>
            <w:proofErr w:type="spellEnd"/>
            <w:r w:rsidRPr="00E424AC">
              <w:rPr>
                <w:rFonts w:ascii="Times New Roman" w:eastAsia="Garamond" w:hAnsi="Times New Roman"/>
                <w:lang w:val="en-US"/>
              </w:rPr>
              <w:t xml:space="preserve">. </w:t>
            </w:r>
            <w:r w:rsidRPr="00E424AC">
              <w:rPr>
                <w:rFonts w:ascii="Times New Roman" w:eastAsia="Garamond" w:hAnsi="Times New Roman"/>
              </w:rPr>
              <w:t>System inkwizycyjny w średniowiecznej Europie, Lublin 2006.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M. Lambert, Średniowieczne herezje od reformy gregoriańskiej do reformacji, tł. W.J. </w:t>
            </w:r>
            <w:r w:rsidRPr="00E424AC">
              <w:rPr>
                <w:rFonts w:ascii="Times New Roman" w:eastAsia="Garamond" w:hAnsi="Times New Roman"/>
              </w:rPr>
              <w:lastRenderedPageBreak/>
              <w:t>Popowski, Warszawa-Gdańsk 2002.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R. </w:t>
            </w:r>
            <w:proofErr w:type="spellStart"/>
            <w:r w:rsidRPr="00E424AC">
              <w:rPr>
                <w:rFonts w:ascii="Times New Roman" w:eastAsia="Garamond" w:hAnsi="Times New Roman"/>
              </w:rPr>
              <w:t>Nelli</w:t>
            </w:r>
            <w:proofErr w:type="spellEnd"/>
            <w:r w:rsidRPr="00E424AC">
              <w:rPr>
                <w:rFonts w:ascii="Times New Roman" w:eastAsia="Garamond" w:hAnsi="Times New Roman"/>
              </w:rPr>
              <w:t>, Życie codzienne katarów w Langwedocji w XIII w., tł. M. Ochab, Warszawa 1979.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J. </w:t>
            </w:r>
            <w:proofErr w:type="spellStart"/>
            <w:r w:rsidRPr="00E424AC">
              <w:rPr>
                <w:rFonts w:ascii="Times New Roman" w:eastAsia="Garamond" w:hAnsi="Times New Roman"/>
              </w:rPr>
              <w:t>Oberste</w:t>
            </w:r>
            <w:proofErr w:type="spellEnd"/>
            <w:r w:rsidRPr="00E424AC">
              <w:rPr>
                <w:rFonts w:ascii="Times New Roman" w:eastAsia="Garamond" w:hAnsi="Times New Roman"/>
              </w:rPr>
              <w:t>, Heretycy i inkwizycja w średniowieczu, tł. G. Rawski, Kraków 2010.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M.G. </w:t>
            </w:r>
            <w:proofErr w:type="spellStart"/>
            <w:r w:rsidRPr="00E424AC">
              <w:rPr>
                <w:rFonts w:ascii="Times New Roman" w:eastAsia="Garamond" w:hAnsi="Times New Roman"/>
              </w:rPr>
              <w:t>Pegg</w:t>
            </w:r>
            <w:proofErr w:type="spellEnd"/>
            <w:r w:rsidRPr="00E424AC">
              <w:rPr>
                <w:rFonts w:ascii="Times New Roman" w:eastAsia="Garamond" w:hAnsi="Times New Roman"/>
              </w:rPr>
              <w:t>, Najświętsza wojna. Krucjata przeciw albigensom i bój o chrześcijaństwo, Warszawa 2010.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</w:rPr>
            </w:pPr>
            <w:r w:rsidRPr="00E424AC">
              <w:rPr>
                <w:rFonts w:ascii="Times New Roman" w:eastAsia="Garamond" w:hAnsi="Times New Roman"/>
                <w:b/>
              </w:rPr>
              <w:t>Literatura uzupełniająca: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>J. Baszkiewicz, Myśl polityczna wieków średnich, Poznań 19982.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>S. Bylina, Ruchy heretyckie w średniowieczu. Studia, Wrocław 1991.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>A. Dębiński, Ustawodawstwo karne rzymskich cesarzy chrześcijańskich w sprawach religijnych, Lublin 1990.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W.A. </w:t>
            </w:r>
            <w:proofErr w:type="spellStart"/>
            <w:r w:rsidRPr="00E424AC">
              <w:rPr>
                <w:rFonts w:ascii="Times New Roman" w:eastAsia="Garamond" w:hAnsi="Times New Roman"/>
              </w:rPr>
              <w:t>Hinnebusch</w:t>
            </w:r>
            <w:proofErr w:type="spellEnd"/>
            <w:r w:rsidRPr="00E424AC">
              <w:rPr>
                <w:rFonts w:ascii="Times New Roman" w:eastAsia="Garamond" w:hAnsi="Times New Roman"/>
              </w:rPr>
              <w:t>, Dominikanie – krótki zarys dziejów, w: Dominikanie. Szkice z dziejów zakonu, red. M.A. Babraj, Poznań 1986, s. 83-267.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Inkwizycja papieska w Europie Środkowo-Wschodniej, red. P. Kras, Kraków 2010 (artykuły P. Krasa, R. </w:t>
            </w:r>
            <w:proofErr w:type="spellStart"/>
            <w:r w:rsidRPr="00E424AC">
              <w:rPr>
                <w:rFonts w:ascii="Times New Roman" w:eastAsia="Garamond" w:hAnsi="Times New Roman"/>
              </w:rPr>
              <w:t>Kieckhefera</w:t>
            </w:r>
            <w:proofErr w:type="spellEnd"/>
            <w:r w:rsidRPr="00E424AC">
              <w:rPr>
                <w:rFonts w:ascii="Times New Roman" w:eastAsia="Garamond" w:hAnsi="Times New Roman"/>
              </w:rPr>
              <w:t xml:space="preserve">, G.G. Merlo i Ch. Caldwell </w:t>
            </w:r>
            <w:proofErr w:type="spellStart"/>
            <w:r w:rsidRPr="00E424AC">
              <w:rPr>
                <w:rFonts w:ascii="Times New Roman" w:eastAsia="Garamond" w:hAnsi="Times New Roman"/>
              </w:rPr>
              <w:t>Ames</w:t>
            </w:r>
            <w:proofErr w:type="spellEnd"/>
            <w:r w:rsidRPr="00E424AC">
              <w:rPr>
                <w:rFonts w:ascii="Times New Roman" w:eastAsia="Garamond" w:hAnsi="Times New Roman"/>
              </w:rPr>
              <w:t>)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>H. Kamen, Inkwizycja hiszpańska, tł. T. Bażyńska-Chojnacka, P. Chojnacki, Warszawa 2005.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K. </w:t>
            </w:r>
            <w:proofErr w:type="spellStart"/>
            <w:r w:rsidRPr="00E424AC">
              <w:rPr>
                <w:rFonts w:ascii="Times New Roman" w:eastAsia="Garamond" w:hAnsi="Times New Roman"/>
              </w:rPr>
              <w:t>Koranyi</w:t>
            </w:r>
            <w:proofErr w:type="spellEnd"/>
            <w:r w:rsidRPr="00E424AC">
              <w:rPr>
                <w:rFonts w:ascii="Times New Roman" w:eastAsia="Garamond" w:hAnsi="Times New Roman"/>
              </w:rPr>
              <w:t>, Konstytucje cesarza Fryderyka II przeciw heretykom i ich recepcja w Polsce, w: Księga pamiątkowa ku czci Władysława Abrahama, t. 1, Lwów 1930, s. 317-340.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E. Le Roy </w:t>
            </w:r>
            <w:proofErr w:type="spellStart"/>
            <w:r w:rsidRPr="00E424AC">
              <w:rPr>
                <w:rFonts w:ascii="Times New Roman" w:eastAsia="Garamond" w:hAnsi="Times New Roman"/>
              </w:rPr>
              <w:t>Ladurie</w:t>
            </w:r>
            <w:proofErr w:type="spellEnd"/>
            <w:r w:rsidRPr="00E424AC">
              <w:rPr>
                <w:rFonts w:ascii="Times New Roman" w:eastAsia="Garamond" w:hAnsi="Times New Roman"/>
              </w:rPr>
              <w:t xml:space="preserve">, </w:t>
            </w:r>
            <w:proofErr w:type="spellStart"/>
            <w:r w:rsidRPr="00E424AC">
              <w:rPr>
                <w:rFonts w:ascii="Times New Roman" w:eastAsia="Garamond" w:hAnsi="Times New Roman"/>
              </w:rPr>
              <w:t>Montaillou</w:t>
            </w:r>
            <w:proofErr w:type="spellEnd"/>
            <w:r w:rsidRPr="00E424AC">
              <w:rPr>
                <w:rFonts w:ascii="Times New Roman" w:eastAsia="Garamond" w:hAnsi="Times New Roman"/>
              </w:rPr>
              <w:t xml:space="preserve">: Wioska heretyków, 1294-1324, tł. D. </w:t>
            </w:r>
            <w:proofErr w:type="spellStart"/>
            <w:r w:rsidRPr="00E424AC">
              <w:rPr>
                <w:rFonts w:ascii="Times New Roman" w:eastAsia="Garamond" w:hAnsi="Times New Roman"/>
              </w:rPr>
              <w:t>Żólkiewska</w:t>
            </w:r>
            <w:proofErr w:type="spellEnd"/>
            <w:r w:rsidRPr="00E424AC">
              <w:rPr>
                <w:rFonts w:ascii="Times New Roman" w:eastAsia="Garamond" w:hAnsi="Times New Roman"/>
              </w:rPr>
              <w:t>, Warszawa 1988 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>T. Manteuffel, Narodziny herezji. Wyznawcy dobrowolnego ubóstwa w średniowieczu, Warszawa 1963.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F. </w:t>
            </w:r>
            <w:proofErr w:type="spellStart"/>
            <w:r w:rsidRPr="00E424AC">
              <w:rPr>
                <w:rFonts w:ascii="Times New Roman" w:eastAsia="Garamond" w:hAnsi="Times New Roman"/>
              </w:rPr>
              <w:t>Niel</w:t>
            </w:r>
            <w:proofErr w:type="spellEnd"/>
            <w:r w:rsidRPr="00E424AC">
              <w:rPr>
                <w:rFonts w:ascii="Times New Roman" w:eastAsia="Garamond" w:hAnsi="Times New Roman"/>
              </w:rPr>
              <w:t>, Albigensi i katarzy, tł. M. Żerańska, Warszawa 1995.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S. </w:t>
            </w:r>
            <w:proofErr w:type="spellStart"/>
            <w:r w:rsidRPr="00E424AC">
              <w:rPr>
                <w:rFonts w:ascii="Times New Roman" w:eastAsia="Garamond" w:hAnsi="Times New Roman"/>
              </w:rPr>
              <w:t>Runcimann</w:t>
            </w:r>
            <w:proofErr w:type="spellEnd"/>
            <w:r w:rsidRPr="00E424AC">
              <w:rPr>
                <w:rFonts w:ascii="Times New Roman" w:eastAsia="Garamond" w:hAnsi="Times New Roman"/>
              </w:rPr>
              <w:t xml:space="preserve">, Średniowieczny manicheizm, tł. J. </w:t>
            </w:r>
            <w:proofErr w:type="spellStart"/>
            <w:r w:rsidRPr="00E424AC">
              <w:rPr>
                <w:rFonts w:ascii="Times New Roman" w:eastAsia="Garamond" w:hAnsi="Times New Roman"/>
              </w:rPr>
              <w:t>Prokopiuk</w:t>
            </w:r>
            <w:proofErr w:type="spellEnd"/>
            <w:r w:rsidRPr="00E424AC">
              <w:rPr>
                <w:rFonts w:ascii="Times New Roman" w:eastAsia="Garamond" w:hAnsi="Times New Roman"/>
              </w:rPr>
              <w:t xml:space="preserve">, B. </w:t>
            </w:r>
            <w:proofErr w:type="spellStart"/>
            <w:r w:rsidRPr="00E424AC">
              <w:rPr>
                <w:rFonts w:ascii="Times New Roman" w:eastAsia="Garamond" w:hAnsi="Times New Roman"/>
              </w:rPr>
              <w:t>Zborski</w:t>
            </w:r>
            <w:proofErr w:type="spellEnd"/>
            <w:r w:rsidRPr="00E424AC">
              <w:rPr>
                <w:rFonts w:ascii="Times New Roman" w:eastAsia="Garamond" w:hAnsi="Times New Roman"/>
              </w:rPr>
              <w:t>, Warszawa 1996.</w:t>
            </w:r>
          </w:p>
          <w:p w:rsidR="00B74E05" w:rsidRPr="00E424AC" w:rsidRDefault="00B74E05" w:rsidP="00B74E0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J. Szymański, Ruchy heretyckie na Śląsku w XIII i XIV wieku, Katowice 2007. </w:t>
            </w:r>
          </w:p>
          <w:p w:rsidR="008D7554" w:rsidRPr="00E424AC" w:rsidRDefault="00B74E05" w:rsidP="00A66C0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</w:rPr>
            </w:pPr>
            <w:r w:rsidRPr="00E424AC">
              <w:rPr>
                <w:rFonts w:ascii="Times New Roman" w:eastAsia="Garamond" w:hAnsi="Times New Roman"/>
              </w:rPr>
              <w:t xml:space="preserve">M.-H. </w:t>
            </w:r>
            <w:proofErr w:type="spellStart"/>
            <w:r w:rsidRPr="00E424AC">
              <w:rPr>
                <w:rFonts w:ascii="Times New Roman" w:eastAsia="Garamond" w:hAnsi="Times New Roman"/>
              </w:rPr>
              <w:t>Vicaire</w:t>
            </w:r>
            <w:proofErr w:type="spellEnd"/>
            <w:r w:rsidRPr="00E424AC">
              <w:rPr>
                <w:rFonts w:ascii="Times New Roman" w:eastAsia="Garamond" w:hAnsi="Times New Roman"/>
              </w:rPr>
              <w:t xml:space="preserve">, Dominik i jego Bracia Kaznodzieje, tł. i oprac. A. </w:t>
            </w:r>
            <w:proofErr w:type="spellStart"/>
            <w:r w:rsidRPr="00E424AC">
              <w:rPr>
                <w:rFonts w:ascii="Times New Roman" w:eastAsia="Garamond" w:hAnsi="Times New Roman"/>
              </w:rPr>
              <w:t>Graboń</w:t>
            </w:r>
            <w:proofErr w:type="spellEnd"/>
            <w:r w:rsidRPr="00E424AC">
              <w:rPr>
                <w:rFonts w:ascii="Times New Roman" w:eastAsia="Garamond" w:hAnsi="Times New Roman"/>
              </w:rPr>
              <w:t>, Poznań 1985.</w:t>
            </w:r>
          </w:p>
        </w:tc>
      </w:tr>
      <w:tr w:rsidR="008D7554" w:rsidRPr="00E424AC" w:rsidTr="00A66C0F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54" w:rsidRPr="00E424AC" w:rsidRDefault="008D7554" w:rsidP="00A66C0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</w:rPr>
            </w:pPr>
            <w:r w:rsidRPr="00E424AC">
              <w:rPr>
                <w:rFonts w:ascii="Times New Roman" w:eastAsia="Garamond" w:hAnsi="Times New Roman"/>
                <w:b/>
                <w:bCs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4AC" w:rsidRDefault="00E424AC" w:rsidP="00A66C0F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8D7554" w:rsidRPr="00E424AC" w:rsidRDefault="00E424AC" w:rsidP="00E424A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E424AC">
              <w:rPr>
                <w:rFonts w:ascii="Times New Roman" w:hAnsi="Times New Roman"/>
                <w:b/>
              </w:rPr>
              <w:t>d</w:t>
            </w:r>
            <w:r w:rsidR="00B74E05" w:rsidRPr="00E424AC">
              <w:rPr>
                <w:rFonts w:ascii="Times New Roman" w:hAnsi="Times New Roman"/>
                <w:b/>
              </w:rPr>
              <w:t>r hab. Paweł Kras, prof. KUL</w:t>
            </w:r>
          </w:p>
        </w:tc>
      </w:tr>
    </w:tbl>
    <w:p w:rsidR="006554FA" w:rsidRDefault="006554FA">
      <w:bookmarkStart w:id="0" w:name="_GoBack"/>
      <w:bookmarkEnd w:id="0"/>
    </w:p>
    <w:sectPr w:rsidR="0065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54"/>
    <w:rsid w:val="00281A28"/>
    <w:rsid w:val="005F40FE"/>
    <w:rsid w:val="006554FA"/>
    <w:rsid w:val="008D7554"/>
    <w:rsid w:val="00AE7B5D"/>
    <w:rsid w:val="00B74E05"/>
    <w:rsid w:val="00BE3154"/>
    <w:rsid w:val="00E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2012-11-28T19:42:00Z</dcterms:created>
  <dcterms:modified xsi:type="dcterms:W3CDTF">2012-11-29T14:03:00Z</dcterms:modified>
</cp:coreProperties>
</file>