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C308B1" w:rsidTr="008E1CFE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Default="00C308B1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Default="00C308B1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C308B1" w:rsidTr="008E1CFE">
        <w:trPr>
          <w:trHeight w:val="65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Default="00C308B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3D" w:rsidRDefault="00693F3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  <w:p w:rsidR="00C308B1" w:rsidRPr="00C308B1" w:rsidRDefault="00C308B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C308B1">
              <w:rPr>
                <w:rFonts w:asciiTheme="minorHAnsi" w:eastAsia="Garamond" w:hAnsiTheme="minorHAnsi"/>
                <w:b/>
                <w:bCs/>
              </w:rPr>
              <w:t>Historia – studia stacjonarne I stopnia, II rok, II semestr</w:t>
            </w:r>
          </w:p>
        </w:tc>
      </w:tr>
      <w:tr w:rsidR="00C308B1" w:rsidTr="008E1CFE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Default="00C308B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3D" w:rsidRDefault="00693F3D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C308B1" w:rsidRDefault="00C308B1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308B1">
              <w:rPr>
                <w:rFonts w:asciiTheme="minorHAnsi" w:hAnsiTheme="minorHAnsi"/>
                <w:b/>
              </w:rPr>
              <w:t>Historia powszechna XIX wieku: Dyplomacja i stosunki międzynarodowe 1794-1914. Konwersatorium. Część I (1794-1870)</w:t>
            </w:r>
          </w:p>
        </w:tc>
      </w:tr>
      <w:tr w:rsidR="00C308B1" w:rsidTr="008E1CFE">
        <w:trPr>
          <w:trHeight w:val="107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Default="00C308B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proofErr w:type="spellStart"/>
            <w:r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proofErr w:type="spellEnd"/>
            <w:r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B1" w:rsidRDefault="00C308B1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C308B1" w:rsidRDefault="00C308B1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Brak</w:t>
            </w:r>
          </w:p>
        </w:tc>
      </w:tr>
      <w:tr w:rsidR="00C308B1" w:rsidTr="008E1CFE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Default="00C308B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B1" w:rsidRDefault="00693F3D" w:rsidP="00C308B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3</w:t>
            </w:r>
            <w:r w:rsidR="00C308B1">
              <w:rPr>
                <w:rFonts w:asciiTheme="minorHAnsi" w:eastAsia="Garamond" w:hAnsiTheme="minorHAnsi"/>
              </w:rPr>
              <w:t>0</w:t>
            </w:r>
          </w:p>
          <w:p w:rsidR="00C308B1" w:rsidRDefault="00C308B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C308B1" w:rsidTr="008E1CFE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Default="00C308B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B1" w:rsidRDefault="00693F3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2</w:t>
            </w:r>
          </w:p>
        </w:tc>
      </w:tr>
      <w:tr w:rsidR="00C308B1" w:rsidTr="008E1CFE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Default="00C308B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Default="00C308B1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Cs/>
              </w:rPr>
            </w:pPr>
            <w:r>
              <w:rPr>
                <w:rFonts w:asciiTheme="minorHAnsi" w:eastAsia="Garamond" w:hAnsiTheme="minorHAnsi"/>
                <w:bCs/>
              </w:rPr>
              <w:t xml:space="preserve">  </w:t>
            </w:r>
            <w:r w:rsidR="00D97316">
              <w:t xml:space="preserve"> </w:t>
            </w:r>
            <w:r w:rsidR="00D97316" w:rsidRPr="00D97316">
              <w:rPr>
                <w:rFonts w:asciiTheme="minorHAnsi" w:eastAsia="Garamond" w:hAnsiTheme="minorHAnsi"/>
                <w:bCs/>
              </w:rPr>
              <w:t>Zapoznanie studentów z faktografią niezbędną do zrozumienia ewolucji stosunków międzynarodowych w XIX wieku; przybliżenie wybitnych jednostek ze świata polityki; nauka korzystania z opracowań encyklopedycznych i słowników biograficznych w językach obcych (w języku, którego student uczy się na lektoracie); rozwijanie umiejętności samodzielnego i krytycznego myślenia o polityce i stosunkach między państwami.</w:t>
            </w:r>
          </w:p>
        </w:tc>
      </w:tr>
      <w:tr w:rsidR="00C308B1" w:rsidTr="008E1CFE">
        <w:trPr>
          <w:trHeight w:val="58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Default="00C308B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B1" w:rsidRDefault="008E1CF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8E1CFE">
              <w:rPr>
                <w:rFonts w:asciiTheme="minorHAnsi" w:eastAsia="Garamond" w:hAnsiTheme="minorHAnsi"/>
              </w:rPr>
              <w:t>Przygotowanie do zajęć polega na przeczytaniu wskazanego artykułu lub fragmentu opracowania (wszyscy) oraz przygotowaniu krótkiego wystąpienia ustnego (15-20 min.) - komentarza do tekstu źródłowego lub prezentacji problemu (wyznaczone osoby). Ocena na koniec semestru obejmuje trzy elementy: (1) obecność i aktywność podczas zajęć – 30%; (2) ocena za wystąpienia ustne – 30%; (3) wynik pisemnego kolokwium obejmującego materiał z całego semestru (tematyka zajęć i lektury).</w:t>
            </w:r>
          </w:p>
          <w:p w:rsidR="00693F3D" w:rsidRDefault="00693F3D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C308B1" w:rsidTr="008E1CFE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Default="00C308B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Zajęcia dotyczą relacji między państwami i narodami w poszczególnych regionach świata ze szczególnym uwzględnieniem Europy. Koncentrują się wokół przemian porządku politycznego w Europie i świecie oraz postaci wybitnych monarchów, dyplomatów i mężów stanu. Pełny cykl obejmuje dwa semestry.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1.</w:t>
            </w:r>
            <w:r w:rsidRPr="00C308B1">
              <w:rPr>
                <w:rFonts w:asciiTheme="minorHAnsi" w:eastAsiaTheme="minorHAnsi" w:hAnsiTheme="minorHAnsi"/>
              </w:rPr>
              <w:tab/>
              <w:t xml:space="preserve"> „Wojna jest dalszym ciągiem polityki prowadzonej odmiennymi środkami”. Koncepcje Clausewitza a wojny europejskie w XIX wieku.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2.</w:t>
            </w:r>
            <w:r w:rsidRPr="00C308B1">
              <w:rPr>
                <w:rFonts w:asciiTheme="minorHAnsi" w:eastAsiaTheme="minorHAnsi" w:hAnsiTheme="minorHAnsi"/>
              </w:rPr>
              <w:tab/>
              <w:t>„Ludzie są naprawdę wielcy dzięki instytucjom, jakie po nich pozostają”. Konstrukcja i dekonstrukcja imperium napoleońskiego.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3.</w:t>
            </w:r>
            <w:r w:rsidRPr="00C308B1">
              <w:rPr>
                <w:rFonts w:asciiTheme="minorHAnsi" w:eastAsiaTheme="minorHAnsi" w:hAnsiTheme="minorHAnsi"/>
              </w:rPr>
              <w:tab/>
              <w:t>„Moje poglądy zależą od pogody”. Charles-Maurice de Talleyrand.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4.</w:t>
            </w:r>
            <w:r w:rsidRPr="00C308B1">
              <w:rPr>
                <w:rFonts w:asciiTheme="minorHAnsi" w:eastAsiaTheme="minorHAnsi" w:hAnsiTheme="minorHAnsi"/>
              </w:rPr>
              <w:tab/>
              <w:t>„Sukces jest najgłośniejszym mówcą świata”. Napoleon I.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5.</w:t>
            </w:r>
            <w:r w:rsidRPr="00C308B1">
              <w:rPr>
                <w:rFonts w:asciiTheme="minorHAnsi" w:eastAsiaTheme="minorHAnsi" w:hAnsiTheme="minorHAnsi"/>
              </w:rPr>
              <w:tab/>
              <w:t xml:space="preserve">„Rewolucja uczyniła w sferze moralnej to, co potop w świecie fizycznym”. </w:t>
            </w:r>
            <w:proofErr w:type="spellStart"/>
            <w:r w:rsidRPr="00C308B1">
              <w:rPr>
                <w:rFonts w:asciiTheme="minorHAnsi" w:eastAsiaTheme="minorHAnsi" w:hAnsiTheme="minorHAnsi"/>
              </w:rPr>
              <w:t>Ercole</w:t>
            </w:r>
            <w:proofErr w:type="spellEnd"/>
            <w:r w:rsidRPr="00C308B1"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 w:rsidRPr="00C308B1">
              <w:rPr>
                <w:rFonts w:asciiTheme="minorHAnsi" w:eastAsiaTheme="minorHAnsi" w:hAnsiTheme="minorHAnsi"/>
              </w:rPr>
              <w:t>Consalvi</w:t>
            </w:r>
            <w:proofErr w:type="spellEnd"/>
            <w:r w:rsidRPr="00C308B1">
              <w:rPr>
                <w:rFonts w:asciiTheme="minorHAnsi" w:eastAsiaTheme="minorHAnsi" w:hAnsiTheme="minorHAnsi"/>
              </w:rPr>
              <w:t xml:space="preserve">. 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6.</w:t>
            </w:r>
            <w:r w:rsidRPr="00C308B1">
              <w:rPr>
                <w:rFonts w:asciiTheme="minorHAnsi" w:eastAsiaTheme="minorHAnsi" w:hAnsiTheme="minorHAnsi"/>
              </w:rPr>
              <w:tab/>
              <w:t>„Nie posuwa się, tylko tańczy”. Kongres wiedeński.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7.</w:t>
            </w:r>
            <w:r w:rsidRPr="00C308B1">
              <w:rPr>
                <w:rFonts w:asciiTheme="minorHAnsi" w:eastAsiaTheme="minorHAnsi" w:hAnsiTheme="minorHAnsi"/>
              </w:rPr>
              <w:tab/>
              <w:t>„Rozwinął mistrzowską umiejętność ukrywania swoich najgłębszych uczuć. Czasami ukrywał je nawet przed sobą”. Aleksander I.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8.</w:t>
            </w:r>
            <w:r w:rsidRPr="00C308B1">
              <w:rPr>
                <w:rFonts w:asciiTheme="minorHAnsi" w:eastAsiaTheme="minorHAnsi" w:hAnsiTheme="minorHAnsi"/>
              </w:rPr>
              <w:tab/>
              <w:t>„Byłem ostoją porządku”. Klemens Metternich.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9.</w:t>
            </w:r>
            <w:r w:rsidRPr="00C308B1">
              <w:rPr>
                <w:rFonts w:asciiTheme="minorHAnsi" w:eastAsiaTheme="minorHAnsi" w:hAnsiTheme="minorHAnsi"/>
              </w:rPr>
              <w:tab/>
              <w:t>„W imię obrony religii, pokoju i sprawiedliwości”. Święte Przymierze i jego kongresy.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10.</w:t>
            </w:r>
            <w:r w:rsidRPr="00C308B1">
              <w:rPr>
                <w:rFonts w:asciiTheme="minorHAnsi" w:eastAsiaTheme="minorHAnsi" w:hAnsiTheme="minorHAnsi"/>
              </w:rPr>
              <w:tab/>
              <w:t xml:space="preserve"> „Wolność Nowego Świata jest nadzieją całej ludzkości”. Dekolonizacja Ameryki Łacińskiej.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11.</w:t>
            </w:r>
            <w:r w:rsidRPr="00C308B1">
              <w:rPr>
                <w:rFonts w:asciiTheme="minorHAnsi" w:eastAsiaTheme="minorHAnsi" w:hAnsiTheme="minorHAnsi"/>
              </w:rPr>
              <w:tab/>
              <w:t xml:space="preserve"> „Orałem morze”. </w:t>
            </w:r>
            <w:proofErr w:type="spellStart"/>
            <w:r w:rsidRPr="00C308B1">
              <w:rPr>
                <w:rFonts w:asciiTheme="minorHAnsi" w:eastAsiaTheme="minorHAnsi" w:hAnsiTheme="minorHAnsi"/>
              </w:rPr>
              <w:t>Simón</w:t>
            </w:r>
            <w:proofErr w:type="spellEnd"/>
            <w:r w:rsidRPr="00C308B1"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 w:rsidRPr="00C308B1">
              <w:rPr>
                <w:rFonts w:asciiTheme="minorHAnsi" w:eastAsiaTheme="minorHAnsi" w:hAnsiTheme="minorHAnsi"/>
              </w:rPr>
              <w:t>Bolívar</w:t>
            </w:r>
            <w:proofErr w:type="spellEnd"/>
            <w:r w:rsidRPr="00C308B1">
              <w:rPr>
                <w:rFonts w:asciiTheme="minorHAnsi" w:eastAsiaTheme="minorHAnsi" w:hAnsiTheme="minorHAnsi"/>
              </w:rPr>
              <w:t>.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lastRenderedPageBreak/>
              <w:t>12.</w:t>
            </w:r>
            <w:r w:rsidRPr="00C308B1">
              <w:rPr>
                <w:rFonts w:asciiTheme="minorHAnsi" w:eastAsiaTheme="minorHAnsi" w:hAnsiTheme="minorHAnsi"/>
              </w:rPr>
              <w:tab/>
              <w:t xml:space="preserve"> „Co oznacza dla nas słowo Grecy?” Ruchy narodowościowe w Europie XIX w.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13.</w:t>
            </w:r>
            <w:r w:rsidRPr="00C308B1">
              <w:rPr>
                <w:rFonts w:asciiTheme="minorHAnsi" w:eastAsiaTheme="minorHAnsi" w:hAnsiTheme="minorHAnsi"/>
              </w:rPr>
              <w:tab/>
              <w:t xml:space="preserve"> „Eskadry angielska i francuska otrzymały rozkaz wpłynięcia do Bosforu”. Wojna krymska.</w:t>
            </w:r>
          </w:p>
          <w:p w:rsidR="00C308B1" w:rsidRP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14.</w:t>
            </w:r>
            <w:r w:rsidRPr="00C308B1">
              <w:rPr>
                <w:rFonts w:asciiTheme="minorHAnsi" w:eastAsiaTheme="minorHAnsi" w:hAnsiTheme="minorHAnsi"/>
              </w:rPr>
              <w:tab/>
              <w:t xml:space="preserve"> „Przede wszystkim nie bój się ludu – on jest jeszcze bardziej konserwatywny niż ty”. Napoleon III.</w:t>
            </w:r>
          </w:p>
          <w:p w:rsidR="00C308B1" w:rsidRDefault="00C308B1" w:rsidP="00C308B1">
            <w:pPr>
              <w:spacing w:after="0"/>
              <w:rPr>
                <w:rFonts w:asciiTheme="minorHAnsi" w:eastAsiaTheme="minorHAnsi" w:hAnsiTheme="minorHAnsi"/>
              </w:rPr>
            </w:pPr>
            <w:r w:rsidRPr="00C308B1">
              <w:rPr>
                <w:rFonts w:asciiTheme="minorHAnsi" w:eastAsiaTheme="minorHAnsi" w:hAnsiTheme="minorHAnsi"/>
              </w:rPr>
              <w:t>15.</w:t>
            </w:r>
            <w:r w:rsidRPr="00C308B1">
              <w:rPr>
                <w:rFonts w:asciiTheme="minorHAnsi" w:eastAsiaTheme="minorHAnsi" w:hAnsiTheme="minorHAnsi"/>
              </w:rPr>
              <w:tab/>
              <w:t xml:space="preserve"> Kolokwium.</w:t>
            </w:r>
          </w:p>
          <w:p w:rsidR="00693F3D" w:rsidRDefault="00693F3D" w:rsidP="00C308B1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308B1" w:rsidTr="008E1CFE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Default="00C308B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lastRenderedPageBreak/>
              <w:t xml:space="preserve">Literatura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316" w:rsidRPr="00D97316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D97316">
              <w:rPr>
                <w:rFonts w:asciiTheme="minorHAnsi" w:eastAsia="Garamond" w:hAnsiTheme="minorHAnsi"/>
              </w:rPr>
              <w:t>•</w:t>
            </w:r>
            <w:r w:rsidRPr="00D97316">
              <w:rPr>
                <w:rFonts w:asciiTheme="minorHAnsi" w:eastAsia="Garamond" w:hAnsiTheme="minorHAnsi"/>
              </w:rPr>
              <w:tab/>
            </w:r>
            <w:r w:rsidRPr="00693F3D">
              <w:rPr>
                <w:rFonts w:asciiTheme="minorHAnsi" w:eastAsia="Garamond" w:hAnsiTheme="minorHAnsi"/>
                <w:b/>
              </w:rPr>
              <w:t>Literatura podstawowa</w:t>
            </w:r>
          </w:p>
          <w:p w:rsidR="00D97316" w:rsidRPr="00D97316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D97316">
              <w:rPr>
                <w:rFonts w:asciiTheme="minorHAnsi" w:eastAsia="Garamond" w:hAnsiTheme="minorHAnsi"/>
              </w:rPr>
              <w:t>o</w:t>
            </w:r>
            <w:r w:rsidRPr="00D97316">
              <w:rPr>
                <w:rFonts w:asciiTheme="minorHAnsi" w:eastAsia="Garamond" w:hAnsiTheme="minorHAnsi"/>
              </w:rPr>
              <w:tab/>
              <w:t>Dobrzycki W., Historia stosunków międzynarodowych w czasach nowożytnych 1815-1945, Warszawa 1996.</w:t>
            </w:r>
          </w:p>
          <w:p w:rsidR="00D97316" w:rsidRPr="00D97316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D97316">
              <w:rPr>
                <w:rFonts w:asciiTheme="minorHAnsi" w:eastAsia="Garamond" w:hAnsiTheme="minorHAnsi"/>
              </w:rPr>
              <w:t>o</w:t>
            </w:r>
            <w:r w:rsidRPr="00D97316">
              <w:rPr>
                <w:rFonts w:asciiTheme="minorHAnsi" w:eastAsia="Garamond" w:hAnsiTheme="minorHAnsi"/>
              </w:rPr>
              <w:tab/>
              <w:t xml:space="preserve">Kennedy P., Mocarstwa świata: narodziny, rozkwit, upadek. Przemiany gospodarcze i konflikty zbrojne w latach 1500-2000, przeł. M. </w:t>
            </w:r>
            <w:proofErr w:type="spellStart"/>
            <w:r w:rsidRPr="00D97316">
              <w:rPr>
                <w:rFonts w:asciiTheme="minorHAnsi" w:eastAsia="Garamond" w:hAnsiTheme="minorHAnsi"/>
              </w:rPr>
              <w:t>Kluźniak</w:t>
            </w:r>
            <w:proofErr w:type="spellEnd"/>
            <w:r w:rsidRPr="00D97316">
              <w:rPr>
                <w:rFonts w:asciiTheme="minorHAnsi" w:eastAsia="Garamond" w:hAnsiTheme="minorHAnsi"/>
              </w:rPr>
              <w:t>, Warszawa 1994.</w:t>
            </w:r>
          </w:p>
          <w:p w:rsidR="00D97316" w:rsidRPr="00D97316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D97316">
              <w:rPr>
                <w:rFonts w:asciiTheme="minorHAnsi" w:eastAsia="Garamond" w:hAnsiTheme="minorHAnsi"/>
              </w:rPr>
              <w:t>o</w:t>
            </w:r>
            <w:r w:rsidRPr="00D97316">
              <w:rPr>
                <w:rFonts w:asciiTheme="minorHAnsi" w:eastAsia="Garamond" w:hAnsiTheme="minorHAnsi"/>
              </w:rPr>
              <w:tab/>
            </w:r>
            <w:proofErr w:type="spellStart"/>
            <w:r w:rsidRPr="00D97316">
              <w:rPr>
                <w:rFonts w:asciiTheme="minorHAnsi" w:eastAsia="Garamond" w:hAnsiTheme="minorHAnsi"/>
              </w:rPr>
              <w:t>Kukiel</w:t>
            </w:r>
            <w:proofErr w:type="spellEnd"/>
            <w:r w:rsidRPr="00D97316">
              <w:rPr>
                <w:rFonts w:asciiTheme="minorHAnsi" w:eastAsia="Garamond" w:hAnsiTheme="minorHAnsi"/>
              </w:rPr>
              <w:t xml:space="preserve"> M., Dzieje polityczne Europy od rewolucji francuskiej, Londyn 1992.</w:t>
            </w:r>
          </w:p>
          <w:p w:rsidR="00D97316" w:rsidRPr="00D97316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D97316">
              <w:rPr>
                <w:rFonts w:asciiTheme="minorHAnsi" w:eastAsia="Garamond" w:hAnsiTheme="minorHAnsi"/>
              </w:rPr>
              <w:t>o</w:t>
            </w:r>
            <w:r w:rsidRPr="00D97316">
              <w:rPr>
                <w:rFonts w:asciiTheme="minorHAnsi" w:eastAsia="Garamond" w:hAnsiTheme="minorHAnsi"/>
              </w:rPr>
              <w:tab/>
            </w:r>
            <w:proofErr w:type="spellStart"/>
            <w:r w:rsidRPr="00D97316">
              <w:rPr>
                <w:rFonts w:asciiTheme="minorHAnsi" w:eastAsia="Garamond" w:hAnsiTheme="minorHAnsi"/>
              </w:rPr>
              <w:t>Wandycz</w:t>
            </w:r>
            <w:proofErr w:type="spellEnd"/>
            <w:r w:rsidRPr="00D97316">
              <w:rPr>
                <w:rFonts w:asciiTheme="minorHAnsi" w:eastAsia="Garamond" w:hAnsiTheme="minorHAnsi"/>
              </w:rPr>
              <w:t xml:space="preserve"> P., </w:t>
            </w:r>
            <w:proofErr w:type="spellStart"/>
            <w:r w:rsidRPr="00D97316">
              <w:rPr>
                <w:rFonts w:asciiTheme="minorHAnsi" w:eastAsia="Garamond" w:hAnsiTheme="minorHAnsi"/>
              </w:rPr>
              <w:t>Pax</w:t>
            </w:r>
            <w:proofErr w:type="spellEnd"/>
            <w:r w:rsidRPr="00D97316">
              <w:rPr>
                <w:rFonts w:asciiTheme="minorHAnsi" w:eastAsia="Garamond" w:hAnsiTheme="minorHAnsi"/>
              </w:rPr>
              <w:t xml:space="preserve"> </w:t>
            </w:r>
            <w:proofErr w:type="spellStart"/>
            <w:r w:rsidRPr="00D97316">
              <w:rPr>
                <w:rFonts w:asciiTheme="minorHAnsi" w:eastAsia="Garamond" w:hAnsiTheme="minorHAnsi"/>
              </w:rPr>
              <w:t>Europea</w:t>
            </w:r>
            <w:proofErr w:type="spellEnd"/>
            <w:r w:rsidRPr="00D97316">
              <w:rPr>
                <w:rFonts w:asciiTheme="minorHAnsi" w:eastAsia="Garamond" w:hAnsiTheme="minorHAnsi"/>
              </w:rPr>
              <w:t>. Dzieje systemów międzynarodowych w Europie 1815-1914, Kraków 2003.</w:t>
            </w:r>
          </w:p>
          <w:p w:rsidR="00D97316" w:rsidRPr="00D97316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D97316" w:rsidRPr="00D97316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D97316">
              <w:rPr>
                <w:rFonts w:asciiTheme="minorHAnsi" w:eastAsia="Garamond" w:hAnsiTheme="minorHAnsi"/>
              </w:rPr>
              <w:t>•</w:t>
            </w:r>
            <w:r w:rsidRPr="00D97316">
              <w:rPr>
                <w:rFonts w:asciiTheme="minorHAnsi" w:eastAsia="Garamond" w:hAnsiTheme="minorHAnsi"/>
              </w:rPr>
              <w:tab/>
            </w:r>
            <w:r w:rsidRPr="00693F3D">
              <w:rPr>
                <w:rFonts w:asciiTheme="minorHAnsi" w:eastAsia="Garamond" w:hAnsiTheme="minorHAnsi"/>
                <w:b/>
              </w:rPr>
              <w:t>Literatura uzupełniająca</w:t>
            </w:r>
          </w:p>
          <w:p w:rsidR="00D97316" w:rsidRPr="00D97316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D97316">
              <w:rPr>
                <w:rFonts w:asciiTheme="minorHAnsi" w:eastAsia="Garamond" w:hAnsiTheme="minorHAnsi"/>
              </w:rPr>
              <w:t>o</w:t>
            </w:r>
            <w:r w:rsidRPr="00D97316">
              <w:rPr>
                <w:rFonts w:asciiTheme="minorHAnsi" w:eastAsia="Garamond" w:hAnsiTheme="minorHAnsi"/>
              </w:rPr>
              <w:tab/>
              <w:t xml:space="preserve">Davies N., Europa, Kraków 1998, s. 775-807. </w:t>
            </w:r>
          </w:p>
          <w:p w:rsidR="00D97316" w:rsidRPr="00D97316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D97316">
              <w:rPr>
                <w:rFonts w:asciiTheme="minorHAnsi" w:eastAsia="Garamond" w:hAnsiTheme="minorHAnsi"/>
              </w:rPr>
              <w:t>o</w:t>
            </w:r>
            <w:r w:rsidRPr="00D97316">
              <w:rPr>
                <w:rFonts w:asciiTheme="minorHAnsi" w:eastAsia="Garamond" w:hAnsiTheme="minorHAnsi"/>
              </w:rPr>
              <w:tab/>
            </w:r>
            <w:proofErr w:type="spellStart"/>
            <w:r w:rsidRPr="00D97316">
              <w:rPr>
                <w:rFonts w:asciiTheme="minorHAnsi" w:eastAsia="Garamond" w:hAnsiTheme="minorHAnsi"/>
              </w:rPr>
              <w:t>Mezzadri</w:t>
            </w:r>
            <w:proofErr w:type="spellEnd"/>
            <w:r w:rsidRPr="00D97316">
              <w:rPr>
                <w:rFonts w:asciiTheme="minorHAnsi" w:eastAsia="Garamond" w:hAnsiTheme="minorHAnsi"/>
              </w:rPr>
              <w:t xml:space="preserve"> L., Rewolucja francuska a Kościół, Kraków 2007, s. 185-197.</w:t>
            </w:r>
          </w:p>
          <w:p w:rsidR="00D97316" w:rsidRPr="00D97316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D97316">
              <w:rPr>
                <w:rFonts w:asciiTheme="minorHAnsi" w:eastAsia="Garamond" w:hAnsiTheme="minorHAnsi"/>
              </w:rPr>
              <w:t>o</w:t>
            </w:r>
            <w:r w:rsidRPr="00D97316">
              <w:rPr>
                <w:rFonts w:asciiTheme="minorHAnsi" w:eastAsia="Garamond" w:hAnsiTheme="minorHAnsi"/>
              </w:rPr>
              <w:tab/>
              <w:t>Zajewski W., Kongres wiedeński i Święte Przymierze, w: Europa i świat w epoce restauracji, romantyzmu i rewolucji 1815-1849, red. W. Zajewski, t. I, Warszawa 1991, s. 20-69.</w:t>
            </w:r>
          </w:p>
          <w:p w:rsidR="00D97316" w:rsidRPr="00D97316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D97316">
              <w:rPr>
                <w:rFonts w:asciiTheme="minorHAnsi" w:eastAsia="Garamond" w:hAnsiTheme="minorHAnsi"/>
              </w:rPr>
              <w:t>o</w:t>
            </w:r>
            <w:r w:rsidRPr="00D97316">
              <w:rPr>
                <w:rFonts w:asciiTheme="minorHAnsi" w:eastAsia="Garamond" w:hAnsiTheme="minorHAnsi"/>
              </w:rPr>
              <w:tab/>
              <w:t>Kissinger H., Dyplomacja, Warszawa 2009, s. 82-108 (rozdz. IV: Koncert europejski. Wielka Brytania, Austria i Rosja).</w:t>
            </w:r>
          </w:p>
          <w:p w:rsidR="00D97316" w:rsidRPr="00D97316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D97316">
              <w:rPr>
                <w:rFonts w:asciiTheme="minorHAnsi" w:eastAsia="Garamond" w:hAnsiTheme="minorHAnsi"/>
              </w:rPr>
              <w:t>o</w:t>
            </w:r>
            <w:r w:rsidRPr="00D97316">
              <w:rPr>
                <w:rFonts w:asciiTheme="minorHAnsi" w:eastAsia="Garamond" w:hAnsiTheme="minorHAnsi"/>
              </w:rPr>
              <w:tab/>
              <w:t>Wereszycki H., Sprawa polska w XIX wieku, w: Polska XIX wieku. Państwo - społeczeństwo - kultura, red. S. Kieniewicz, Warszawa 1986, s. 122-162.</w:t>
            </w:r>
          </w:p>
          <w:p w:rsidR="00D97316" w:rsidRPr="00D97316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D97316">
              <w:rPr>
                <w:rFonts w:asciiTheme="minorHAnsi" w:eastAsia="Garamond" w:hAnsiTheme="minorHAnsi"/>
              </w:rPr>
              <w:t>o</w:t>
            </w:r>
            <w:r w:rsidRPr="00D97316">
              <w:rPr>
                <w:rFonts w:asciiTheme="minorHAnsi" w:eastAsia="Garamond" w:hAnsiTheme="minorHAnsi"/>
              </w:rPr>
              <w:tab/>
              <w:t>Chwalba A., Historia powszechna. Wiek XIX, Warszawa 2008, s. 458-475 (cz. II, rozdz. 4.1-3: Ameryka Latynoska).</w:t>
            </w:r>
          </w:p>
          <w:p w:rsidR="00C308B1" w:rsidRDefault="00D97316" w:rsidP="00D97316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D97316">
              <w:rPr>
                <w:rFonts w:asciiTheme="minorHAnsi" w:eastAsia="Garamond" w:hAnsiTheme="minorHAnsi"/>
              </w:rPr>
              <w:t>o</w:t>
            </w:r>
            <w:r w:rsidRPr="00D97316">
              <w:rPr>
                <w:rFonts w:asciiTheme="minorHAnsi" w:eastAsia="Garamond" w:hAnsiTheme="minorHAnsi"/>
              </w:rPr>
              <w:tab/>
            </w:r>
            <w:proofErr w:type="spellStart"/>
            <w:r w:rsidRPr="00D97316">
              <w:rPr>
                <w:rFonts w:asciiTheme="minorHAnsi" w:eastAsia="Garamond" w:hAnsiTheme="minorHAnsi"/>
              </w:rPr>
              <w:t>Bazylow</w:t>
            </w:r>
            <w:proofErr w:type="spellEnd"/>
            <w:r w:rsidRPr="00D97316">
              <w:rPr>
                <w:rFonts w:asciiTheme="minorHAnsi" w:eastAsia="Garamond" w:hAnsiTheme="minorHAnsi"/>
              </w:rPr>
              <w:t xml:space="preserve"> L., Historia powszechna 1789-1918, Warszawa 1981, s. 486-493 (wojna krymska)</w:t>
            </w:r>
          </w:p>
        </w:tc>
      </w:tr>
      <w:tr w:rsidR="00C308B1" w:rsidTr="008E1CFE">
        <w:trPr>
          <w:trHeight w:val="55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B1" w:rsidRDefault="00C308B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Osoba prowadząca zajęcia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3D" w:rsidRPr="00693F3D" w:rsidRDefault="00693F3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C308B1" w:rsidRDefault="008E1CFE" w:rsidP="0020034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693F3D">
              <w:rPr>
                <w:rFonts w:asciiTheme="minorHAnsi" w:hAnsiTheme="minorHAnsi"/>
                <w:b/>
              </w:rPr>
              <w:t>dr hab. Anna Barańska, prof. KUL</w:t>
            </w:r>
            <w:r w:rsidRPr="008E1CFE">
              <w:rPr>
                <w:rFonts w:asciiTheme="minorHAnsi" w:hAnsiTheme="minorHAnsi"/>
              </w:rPr>
              <w:t xml:space="preserve">  an</w:t>
            </w:r>
            <w:bookmarkStart w:id="0" w:name="_GoBack"/>
            <w:bookmarkEnd w:id="0"/>
            <w:r w:rsidRPr="008E1CFE">
              <w:rPr>
                <w:rFonts w:asciiTheme="minorHAnsi" w:hAnsiTheme="minorHAnsi"/>
              </w:rPr>
              <w:t>bar@kul.lublin.pl 81-4454329</w:t>
            </w:r>
          </w:p>
        </w:tc>
      </w:tr>
    </w:tbl>
    <w:p w:rsidR="003C69A4" w:rsidRDefault="003C69A4"/>
    <w:sectPr w:rsidR="003C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3A"/>
    <w:rsid w:val="00200348"/>
    <w:rsid w:val="003C69A4"/>
    <w:rsid w:val="00693F3D"/>
    <w:rsid w:val="008E1CFE"/>
    <w:rsid w:val="00A9293A"/>
    <w:rsid w:val="00C308B1"/>
    <w:rsid w:val="00D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2012-11-25T14:55:00Z</dcterms:created>
  <dcterms:modified xsi:type="dcterms:W3CDTF">2012-11-29T20:32:00Z</dcterms:modified>
</cp:coreProperties>
</file>