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1077A5" w:rsidRPr="006648A5" w:rsidTr="00D378B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A5" w:rsidRPr="006648A5" w:rsidRDefault="001077A5" w:rsidP="00D378B6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A5" w:rsidRPr="006648A5" w:rsidRDefault="001077A5" w:rsidP="00D378B6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1077A5" w:rsidRPr="006648A5" w:rsidTr="00D378B6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A5" w:rsidRPr="006648A5" w:rsidRDefault="001077A5" w:rsidP="00D378B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25" w:rsidRPr="006648A5" w:rsidRDefault="007F3025" w:rsidP="001077A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</w:p>
          <w:p w:rsidR="001077A5" w:rsidRPr="006648A5" w:rsidRDefault="001077A5" w:rsidP="001077A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Historia, studia stacjonarne I stopnia</w:t>
            </w:r>
            <w:r w:rsidR="007F3025" w:rsidRPr="006648A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,</w:t>
            </w:r>
            <w:r w:rsidRPr="006648A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II rok</w:t>
            </w:r>
          </w:p>
        </w:tc>
      </w:tr>
      <w:tr w:rsidR="001077A5" w:rsidRPr="006648A5" w:rsidTr="00D378B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A5" w:rsidRPr="006648A5" w:rsidRDefault="001077A5" w:rsidP="00D378B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25" w:rsidRPr="006648A5" w:rsidRDefault="007F3025" w:rsidP="00D378B6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7A5" w:rsidRPr="006648A5" w:rsidRDefault="001077A5" w:rsidP="00D378B6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8A5">
              <w:rPr>
                <w:rFonts w:ascii="Times New Roman" w:hAnsi="Times New Roman"/>
                <w:b/>
                <w:sz w:val="24"/>
                <w:szCs w:val="24"/>
              </w:rPr>
              <w:t>Historia powszechna XVI-XVIII wieku. Kultura elit nowożytnej Europy-</w:t>
            </w:r>
            <w:r w:rsidRPr="00664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8A5">
              <w:rPr>
                <w:rFonts w:ascii="Times New Roman" w:hAnsi="Times New Roman"/>
                <w:b/>
                <w:sz w:val="24"/>
                <w:szCs w:val="24"/>
              </w:rPr>
              <w:t>konwersatorium</w:t>
            </w:r>
          </w:p>
        </w:tc>
      </w:tr>
      <w:tr w:rsidR="001077A5" w:rsidRPr="006648A5" w:rsidTr="00D378B6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A5" w:rsidRPr="006648A5" w:rsidRDefault="001077A5" w:rsidP="00D378B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6648A5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6648A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A5" w:rsidRPr="006648A5" w:rsidRDefault="001077A5" w:rsidP="00D378B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7C019B" w:rsidP="00D378B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1077A5" w:rsidRPr="006648A5" w:rsidTr="00D378B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A5" w:rsidRPr="006648A5" w:rsidRDefault="001077A5" w:rsidP="00D378B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A5" w:rsidRPr="006648A5" w:rsidRDefault="007F3025" w:rsidP="001077A5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2×3</w:t>
            </w:r>
            <w:r w:rsidR="001077A5" w:rsidRPr="006648A5">
              <w:rPr>
                <w:rFonts w:ascii="Times New Roman" w:eastAsia="Garamond" w:hAnsi="Times New Roman"/>
                <w:sz w:val="24"/>
                <w:szCs w:val="24"/>
              </w:rPr>
              <w:t>0</w:t>
            </w:r>
          </w:p>
          <w:p w:rsidR="001077A5" w:rsidRPr="006648A5" w:rsidRDefault="001077A5" w:rsidP="00D378B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1077A5" w:rsidRPr="006648A5" w:rsidTr="00D378B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A5" w:rsidRPr="006648A5" w:rsidRDefault="001077A5" w:rsidP="00D378B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A5" w:rsidRPr="006648A5" w:rsidRDefault="001077A5" w:rsidP="00D378B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4</w:t>
            </w:r>
          </w:p>
        </w:tc>
      </w:tr>
      <w:tr w:rsidR="001077A5" w:rsidRPr="006648A5" w:rsidTr="00D378B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A5" w:rsidRPr="006648A5" w:rsidRDefault="001077A5" w:rsidP="00D378B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7A5" w:rsidRPr="006648A5" w:rsidRDefault="001077A5" w:rsidP="00D378B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 </w:t>
            </w:r>
            <w:r w:rsidRPr="00664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8A5">
              <w:rPr>
                <w:rFonts w:ascii="Times New Roman" w:eastAsia="Garamond" w:hAnsi="Times New Roman"/>
                <w:bCs/>
                <w:sz w:val="24"/>
                <w:szCs w:val="24"/>
              </w:rPr>
              <w:t>Celem zajęć jest zapoznanie studentów z kluczowymi zagadnieniami z zakresu historii nowożytnej Europy oraz analiza i interpretacja tekstów źródłowych w oparciu o samodzielną refleksję dziejową studentów. Zajęcia w pierwszym semestrze koncentrują się na kwestiach kulturowych i społecznych. Z pomocą opracowań oraz tekstów źródłowych studenci zapoznają się ze strukturą społeczną poszczególnych państw europejskich w okresie XVI-XVIII wieku, wartościami społecznymi, funkcjonowaniem systemów parlamentarnych, a przede wszystkim zjawiskami kulturowymi epoki nowożytnej. W semestrze drugim, na podstawie tekstów źródłowych i zdobytej wiedzy studenci rozwiązują problemy badawcze, np.: przynależność do warstw społecznych z zastosowaniem odmiennych kryteriów, charakter więzi społecznych, specyfika postrzegania wartości kulturowych.</w:t>
            </w:r>
          </w:p>
        </w:tc>
      </w:tr>
      <w:tr w:rsidR="001077A5" w:rsidRPr="006648A5" w:rsidTr="00D378B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A5" w:rsidRPr="006648A5" w:rsidRDefault="001077A5" w:rsidP="00D378B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A5" w:rsidRPr="006648A5" w:rsidRDefault="001077A5" w:rsidP="00D378B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1077A5" w:rsidP="00D378B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1077A5" w:rsidRPr="006648A5" w:rsidTr="00D378B6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A5" w:rsidRPr="006648A5" w:rsidRDefault="001077A5" w:rsidP="00D378B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A5" w:rsidRPr="006648A5" w:rsidRDefault="001077A5" w:rsidP="00D378B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Zaliczenie z oceną</w:t>
            </w:r>
          </w:p>
        </w:tc>
      </w:tr>
      <w:tr w:rsidR="001077A5" w:rsidRPr="006648A5" w:rsidTr="00D378B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A5" w:rsidRPr="006648A5" w:rsidRDefault="001077A5" w:rsidP="00D378B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1.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Elity Europy. Od późnego Średniowiecza do rewolucji francuskiej.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A. Mączak, Rządzący i rządzeni. Władza i społeczeństwo w Europie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wczesnonowożytnej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, Warszawa 1986.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D. Zalewski, Cnoty rycerskie, „Cywilizacja”, nr 17 (2006).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R.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Sasor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, W imię honoru, „Studia Iberystyczne”, nr 6 (2007). 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u w:val="single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2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. Angielski system parlamentarny.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J. Brzozowski, Powstanie, funkcjonowanie oraz procedura obrad Izby Gmin w drugiej połowie XVI wieku, „Białostockie Teki Historyczne”, t. 3 (2005).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S. Hołdys, Sejm polski i parlament angielski w XVI-XVII wieku. Porównanie procedury, ”Przegląd Historyczny”, 3 (1980).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Literatura uzupełniająca: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W. Żebrowski, Parlamentaryzm brytyjski. Geneza i kształt współczesny, „Szkice Humanistyczne”, t. 5, nr 3/4 (2005).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 xml:space="preserve">3.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Wartości obywatelskie a idealny władca. Dylematy wolności i władzy.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A. Wolff-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Powęaka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, Niemiecka myśl polityczna wieku oświecenia, Poznań 1988.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V.Gerhardt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, Immanuel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Kants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Entwurf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zum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ewigen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Frieden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Eine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Theorie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Politik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, Darmstadt 1995.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u w:val="single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4.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Metropolie w Europie Środkowo-Wschodniej.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K.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Lambrecht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, Analiza porównawcza centrów komunikacji społecznej w Europie Środkowo-Wschodniej około 1500 roku, w: Metropolie Europy Środkowo-Wschodniej w XV i XVI wieku, pod red L.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Belzyta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 i J.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Pirożyńskiego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, Kraków 2000.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J.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Ptnek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, Praga w okresie Odrodzenia, w: Kraków i Praga - dwie stolice Europy Środkowej. Materiały międzynarodowej konferencji zorganizowanej w dniach 1-2 czerwca 2000, pod red. J. Purchla, Kraków 2002.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u w:val="single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5.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Nowożytny Paryż.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A. Zahorski, Paryż lat rewolucji i Napoleona,  Warszawa 1964.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6.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Żydzi w Europie.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A. Michałowska, Naród bez państwa. Zarys dziejów Żydów w Europie nowożytnej, w: Rzeczpospolita - Europa XVI-XVIII wiek. Próba konfrontacji, pod red. M. Kopczyńskiego i W.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Tygielskiego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, Warszawa 1999.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H.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Haumann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, Historia Żydów w Europie środkowo-wschodniej, Warszawa 2000.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7.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Reforma Marcina Lutra.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P.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Chaunu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, Czas reform, Warszawa 1989.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J. M. Todd, Marcin Luter, Warszawa 1998.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8.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Jan Kalwin – droga do reformy.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S. Piwko, Jan Kalwin. Życie i dzieło, Warszawa 1995.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B.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Cottret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, Kalwin, Warszawa 2000.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u w:val="single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9.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Co to jest humanizm?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Humanizm i edukacja humanistyczna. Wybór tekstów, pod red. B. Suchodolskiego i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I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. Wojnar, Warszawa 1988.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10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Wolność. Humanizm kontra reformacja.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J. Huizinga,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Erazm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, Warszawa 1964.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O. Beyer, Freedom? The Anthropological Concepts in Luther and Melanchthon Compared , „The Harvard Theological Review”, 91, nr 4 (1998).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u w:val="single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11.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Odrodzenie a starożytność.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J.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Delumeau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, Cywilizacja Odrodzenia, Warszawa 1993.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J.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Burckhardt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, Kultura Odrodzenia we Włoszech, Warszawa 1965. 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P.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Burke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, Kultura i społeczeństwo w renesansowych Włoszech, Warszawa 1991.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12.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Biblia a teoria heliocentryczna</w:t>
            </w: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Z.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Wardęska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, Teoria heliocentryczna w interpretacji teologów XVI wieku, Wrocław 1975.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u w:val="single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13.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Giordano Bruno i jego poglądy.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A. Nowicki, Giordano Bruno, Warszawa 1979.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u w:val="single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14.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Wychowanie władcy chrześcijańskiego.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I. Kąkolewski, Melancholia władzy. Problem tyranii w europejskiej kulturze politycznej XVI stulecia, Warszawa 2007.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u w:val="single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15.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Kultura hiszpańska „złotego wieku”.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A. Wyrobisz, Kultura Hiszpanii „złotego wieku”, w: Europa i świat w początkach epoki nowożytnej, cz. 1, Społeczeństwo, kultura, ekspansja, pod red. A. Mączka, Warszawa 1991.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u w:val="single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16.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„Niechaj inni prowadzą wojny, ty, Austrio, żeń się szczęśliwie”. Polityka matrymonialna dynastii Habsburgów.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A.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Wheatcroft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, Habsburgowie, Kraków 2000.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u w:val="single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17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. Insygnia władzy Habsburgów.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F.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Weissensteiner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, Habsburgowie, Warszawa 2011.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18.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Mecenat czy ignorancja – przypadek Mozarta.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Literatura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Wheatcroft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>, op. cit.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K.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Naliwajek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-Mazurek, Tajemnica Mozarta, „Palestra”, R. 51, nr 3/4 (2006).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u w:val="single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19.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Ikonografia renesansowa.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K.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Mittelstädt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, Albrecht Dürer, Berlin 1977.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u w:val="single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20/21.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Kultura baroku.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T. R. Hoffmann, Barok, Warszawa 2006.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J.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Delumeau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, Strach w kulturze Zachodu XIV-XVIII w., Warszawa 1986.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22.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Oświecenie - pochodzenie i istota formacji kulturowej.</w:t>
            </w: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 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P.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Chaunu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, Cywilizacja wieku Oświecenia, Warszawa 1993. 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U. Im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Hof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, Europa oświecenia, Warszawa 1995.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23.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Przełom oświeceniowy i ikonografia władzy.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P.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Rapelli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, Symbole władzy i wielkie dynastie, Warszawa 2008.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u w:val="single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24/25.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Klasycyzm.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Klasycyzm. Estetyka - doktryna literacka – antropologia, pod red. K.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Meller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, Warszawa 2009.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26.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Ezoteryczne korzenie wolnomularstwa</w:t>
            </w: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T. Cegielski, „Sztuka królewska” a chrześcijaństwo (Ezoteryzm wolnomularski w XVII – XVIII w.) „Kwartalnik Historyczny”, 4 (1984). 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T. Cegielski, „Ordo ex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chao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”. Wolnomularstwo i światopoglądowe kryzysy XVII i XVIII wieku, t. I, Warszawa 1994.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u w:val="single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27.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Encyklopedia i encyklopedyści.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E. Rzadkowska, Encyklopedia, „Wiek Oświecenia”, R. 8 (1992).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u w:val="single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28/29.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Historiografia kontrfaktyczna (alternatywna).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Literatura: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N. Ferguson, </w:t>
            </w:r>
            <w:proofErr w:type="spellStart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>Empire</w:t>
            </w:r>
            <w:proofErr w:type="spellEnd"/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lang w:val="en-US"/>
              </w:rPr>
              <w:t xml:space="preserve">How Britain Made the Modern World, London 2003. </w:t>
            </w: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  <w:lang w:val="en-US"/>
              </w:rPr>
            </w:pPr>
          </w:p>
          <w:p w:rsidR="001077A5" w:rsidRPr="006648A5" w:rsidRDefault="001077A5" w:rsidP="007C019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 xml:space="preserve">30. </w:t>
            </w:r>
            <w:r w:rsidRPr="006648A5">
              <w:rPr>
                <w:rFonts w:ascii="Times New Roman" w:eastAsia="Garamond" w:hAnsi="Times New Roman"/>
                <w:sz w:val="24"/>
                <w:szCs w:val="24"/>
                <w:u w:val="single"/>
              </w:rPr>
              <w:t>Zajęcia sumujące.</w:t>
            </w:r>
          </w:p>
        </w:tc>
      </w:tr>
      <w:tr w:rsidR="001077A5" w:rsidRPr="006648A5" w:rsidTr="00D378B6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A5" w:rsidRPr="006648A5" w:rsidRDefault="001077A5" w:rsidP="00D378B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A5" w:rsidRPr="006648A5" w:rsidRDefault="007C019B" w:rsidP="00D378B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sz w:val="24"/>
                <w:szCs w:val="24"/>
              </w:rPr>
              <w:t>Zob. wyżej</w:t>
            </w:r>
          </w:p>
          <w:p w:rsidR="001077A5" w:rsidRPr="006648A5" w:rsidRDefault="001077A5" w:rsidP="00D378B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1077A5" w:rsidRPr="006648A5" w:rsidTr="00D378B6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A5" w:rsidRPr="006648A5" w:rsidRDefault="001077A5" w:rsidP="00D378B6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6648A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</w:t>
            </w:r>
            <w:r w:rsidR="006648A5" w:rsidRPr="006648A5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A5" w:rsidRPr="006648A5" w:rsidRDefault="006648A5" w:rsidP="00D378B6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77A5" w:rsidRPr="006648A5" w:rsidRDefault="006648A5" w:rsidP="00D378B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8A5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7C019B" w:rsidRPr="006648A5">
              <w:rPr>
                <w:rFonts w:ascii="Times New Roman" w:hAnsi="Times New Roman"/>
                <w:b/>
                <w:sz w:val="24"/>
                <w:szCs w:val="24"/>
              </w:rPr>
              <w:t>r Arkadiusz Stasiak</w:t>
            </w:r>
          </w:p>
        </w:tc>
      </w:tr>
    </w:tbl>
    <w:p w:rsidR="004C0018" w:rsidRDefault="004C0018">
      <w:bookmarkStart w:id="0" w:name="_GoBack"/>
      <w:bookmarkEnd w:id="0"/>
    </w:p>
    <w:sectPr w:rsidR="004C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47"/>
    <w:rsid w:val="001077A5"/>
    <w:rsid w:val="00390E73"/>
    <w:rsid w:val="004C0018"/>
    <w:rsid w:val="006648A5"/>
    <w:rsid w:val="00774047"/>
    <w:rsid w:val="007C019B"/>
    <w:rsid w:val="007F3025"/>
    <w:rsid w:val="00B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7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7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2012-11-25T15:44:00Z</dcterms:created>
  <dcterms:modified xsi:type="dcterms:W3CDTF">2012-11-29T20:13:00Z</dcterms:modified>
</cp:coreProperties>
</file>