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Y="40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7605"/>
      </w:tblGrid>
      <w:tr w:rsidR="008602F4" w:rsidTr="008602F4">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jc w:val="center"/>
              <w:rPr>
                <w:rFonts w:asciiTheme="minorHAnsi" w:eastAsia="Garamond" w:hAnsiTheme="minorHAnsi"/>
                <w:b/>
                <w:bCs/>
              </w:rPr>
            </w:pPr>
            <w:r>
              <w:rPr>
                <w:rFonts w:asciiTheme="minorHAnsi" w:eastAsia="Garamond" w:hAnsiTheme="minorHAnsi"/>
                <w:b/>
                <w:bCs/>
              </w:rPr>
              <w:t>Nazwa jednostki</w:t>
            </w:r>
          </w:p>
        </w:tc>
        <w:tc>
          <w:tcPr>
            <w:tcW w:w="760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jc w:val="center"/>
              <w:rPr>
                <w:rFonts w:asciiTheme="minorHAnsi" w:eastAsia="Garamond" w:hAnsiTheme="minorHAnsi"/>
                <w:b/>
                <w:bCs/>
              </w:rPr>
            </w:pPr>
            <w:r>
              <w:rPr>
                <w:rFonts w:asciiTheme="minorHAnsi" w:eastAsia="Garamond" w:hAnsiTheme="minorHAnsi"/>
                <w:b/>
                <w:bCs/>
              </w:rPr>
              <w:t>Instytut Historii, Wydział Nauk Humanistycznych</w:t>
            </w:r>
          </w:p>
        </w:tc>
      </w:tr>
      <w:tr w:rsidR="008602F4" w:rsidTr="008602F4">
        <w:trPr>
          <w:trHeight w:val="650"/>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Nazwa kierunku (specjalności)</w:t>
            </w:r>
          </w:p>
        </w:tc>
        <w:tc>
          <w:tcPr>
            <w:tcW w:w="7605" w:type="dxa"/>
            <w:tcBorders>
              <w:top w:val="single" w:sz="4" w:space="0" w:color="auto"/>
              <w:left w:val="single" w:sz="4" w:space="0" w:color="auto"/>
              <w:bottom w:val="single" w:sz="4" w:space="0" w:color="auto"/>
              <w:right w:val="single" w:sz="4" w:space="0" w:color="auto"/>
            </w:tcBorders>
            <w:shd w:val="clear" w:color="auto" w:fill="FFFFFF"/>
            <w:hideMark/>
          </w:tcPr>
          <w:p w:rsidR="00C57EF3" w:rsidRDefault="00C57EF3">
            <w:pPr>
              <w:autoSpaceDE w:val="0"/>
              <w:spacing w:after="0" w:line="240" w:lineRule="auto"/>
              <w:jc w:val="center"/>
              <w:rPr>
                <w:rFonts w:asciiTheme="minorHAnsi" w:eastAsia="Garamond" w:hAnsiTheme="minorHAnsi"/>
                <w:b/>
                <w:bCs/>
              </w:rPr>
            </w:pPr>
          </w:p>
          <w:p w:rsidR="008602F4" w:rsidRPr="00C57EF3" w:rsidRDefault="008602F4" w:rsidP="00C57EF3">
            <w:pPr>
              <w:autoSpaceDE w:val="0"/>
              <w:spacing w:after="0" w:line="240" w:lineRule="auto"/>
              <w:jc w:val="center"/>
              <w:rPr>
                <w:rFonts w:asciiTheme="minorHAnsi" w:eastAsia="Garamond" w:hAnsiTheme="minorHAnsi"/>
                <w:b/>
                <w:bCs/>
              </w:rPr>
            </w:pPr>
            <w:r w:rsidRPr="00C57EF3">
              <w:rPr>
                <w:rFonts w:asciiTheme="minorHAnsi" w:eastAsia="Garamond" w:hAnsiTheme="minorHAnsi"/>
                <w:b/>
                <w:bCs/>
              </w:rPr>
              <w:t>Historia (</w:t>
            </w:r>
            <w:r w:rsidR="00C57EF3" w:rsidRPr="00C57EF3">
              <w:rPr>
                <w:rFonts w:asciiTheme="minorHAnsi" w:eastAsia="Garamond" w:hAnsiTheme="minorHAnsi"/>
                <w:b/>
                <w:bCs/>
              </w:rPr>
              <w:t>II rok studiów stacjonarnych I stopnia</w:t>
            </w:r>
          </w:p>
        </w:tc>
      </w:tr>
      <w:tr w:rsidR="008602F4" w:rsidTr="008602F4">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Nazwa przedmiotu</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C57EF3" w:rsidRDefault="00C57EF3" w:rsidP="00482DAE">
            <w:pPr>
              <w:pStyle w:val="Akapitzlist"/>
              <w:spacing w:line="240" w:lineRule="auto"/>
              <w:jc w:val="center"/>
              <w:rPr>
                <w:rFonts w:asciiTheme="minorHAnsi" w:hAnsiTheme="minorHAnsi"/>
                <w:b/>
              </w:rPr>
            </w:pPr>
          </w:p>
          <w:p w:rsidR="008602F4" w:rsidRDefault="00482DAE" w:rsidP="00482DAE">
            <w:pPr>
              <w:pStyle w:val="Akapitzlist"/>
              <w:spacing w:line="240" w:lineRule="auto"/>
              <w:jc w:val="center"/>
              <w:rPr>
                <w:rFonts w:asciiTheme="minorHAnsi" w:hAnsiTheme="minorHAnsi"/>
              </w:rPr>
            </w:pPr>
            <w:r w:rsidRPr="00482DAE">
              <w:rPr>
                <w:rFonts w:asciiTheme="minorHAnsi" w:hAnsiTheme="minorHAnsi"/>
                <w:b/>
              </w:rPr>
              <w:t xml:space="preserve">Polska Pierwszych </w:t>
            </w:r>
            <w:bookmarkStart w:id="0" w:name="_GoBack"/>
            <w:r w:rsidRPr="007266FF">
              <w:rPr>
                <w:rFonts w:asciiTheme="minorHAnsi" w:hAnsiTheme="minorHAnsi"/>
                <w:b/>
              </w:rPr>
              <w:t>Piastów – wykład</w:t>
            </w:r>
            <w:bookmarkEnd w:id="0"/>
          </w:p>
        </w:tc>
      </w:tr>
      <w:tr w:rsidR="008602F4" w:rsidTr="008602F4">
        <w:trPr>
          <w:trHeight w:val="1077"/>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Przedmioty wprowadzające (</w:t>
            </w:r>
            <w:proofErr w:type="spellStart"/>
            <w:r>
              <w:rPr>
                <w:rFonts w:asciiTheme="minorHAnsi" w:eastAsia="Garamond" w:hAnsiTheme="minorHAnsi"/>
                <w:b/>
                <w:bCs/>
                <w:i/>
              </w:rPr>
              <w:t>prerekwizyty</w:t>
            </w:r>
            <w:proofErr w:type="spellEnd"/>
            <w:r>
              <w:rPr>
                <w:rFonts w:asciiTheme="minorHAnsi" w:eastAsia="Garamond" w:hAnsiTheme="minorHAnsi"/>
                <w:b/>
                <w:bCs/>
              </w:rPr>
              <w:t>) oraz wymagania wstępne</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8602F4" w:rsidRDefault="008602F4">
            <w:pPr>
              <w:autoSpaceDE w:val="0"/>
              <w:spacing w:after="0" w:line="240" w:lineRule="auto"/>
              <w:jc w:val="both"/>
              <w:rPr>
                <w:rFonts w:asciiTheme="minorHAnsi" w:eastAsia="Garamond" w:hAnsiTheme="minorHAnsi"/>
              </w:rPr>
            </w:pPr>
          </w:p>
          <w:p w:rsidR="00482DAE" w:rsidRDefault="00482DAE">
            <w:pPr>
              <w:autoSpaceDE w:val="0"/>
              <w:spacing w:after="0" w:line="240" w:lineRule="auto"/>
              <w:jc w:val="both"/>
              <w:rPr>
                <w:rFonts w:asciiTheme="minorHAnsi" w:eastAsia="Garamond" w:hAnsiTheme="minorHAnsi"/>
              </w:rPr>
            </w:pPr>
            <w:r>
              <w:rPr>
                <w:rFonts w:asciiTheme="minorHAnsi" w:eastAsia="Garamond" w:hAnsiTheme="minorHAnsi"/>
              </w:rPr>
              <w:t>Brak</w:t>
            </w:r>
          </w:p>
        </w:tc>
      </w:tr>
      <w:tr w:rsidR="008602F4" w:rsidTr="008602F4">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Liczba godzin zajęć dydaktycznych</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8602F4" w:rsidRDefault="00482DAE" w:rsidP="00482DAE">
            <w:pPr>
              <w:autoSpaceDE w:val="0"/>
              <w:spacing w:after="0" w:line="240" w:lineRule="auto"/>
              <w:jc w:val="center"/>
              <w:rPr>
                <w:rFonts w:asciiTheme="minorHAnsi" w:eastAsia="Garamond" w:hAnsiTheme="minorHAnsi"/>
              </w:rPr>
            </w:pPr>
            <w:r>
              <w:rPr>
                <w:rFonts w:asciiTheme="minorHAnsi" w:hAnsiTheme="minorHAnsi"/>
              </w:rPr>
              <w:t>15</w:t>
            </w:r>
          </w:p>
          <w:p w:rsidR="008602F4" w:rsidRDefault="008602F4">
            <w:pPr>
              <w:autoSpaceDE w:val="0"/>
              <w:spacing w:after="0" w:line="240" w:lineRule="auto"/>
              <w:jc w:val="center"/>
              <w:rPr>
                <w:rFonts w:asciiTheme="minorHAnsi" w:eastAsia="Garamond" w:hAnsiTheme="minorHAnsi"/>
              </w:rPr>
            </w:pPr>
          </w:p>
        </w:tc>
      </w:tr>
      <w:tr w:rsidR="008602F4" w:rsidTr="008602F4">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Liczba punktów ECTS</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8602F4" w:rsidRDefault="00C57EF3">
            <w:pPr>
              <w:autoSpaceDE w:val="0"/>
              <w:spacing w:after="0" w:line="240" w:lineRule="auto"/>
              <w:jc w:val="center"/>
              <w:rPr>
                <w:rFonts w:asciiTheme="minorHAnsi" w:eastAsia="Garamond" w:hAnsiTheme="minorHAnsi"/>
              </w:rPr>
            </w:pPr>
            <w:r>
              <w:rPr>
                <w:rFonts w:asciiTheme="minorHAnsi" w:eastAsia="Garamond" w:hAnsiTheme="minorHAnsi"/>
              </w:rPr>
              <w:t>1</w:t>
            </w:r>
          </w:p>
        </w:tc>
      </w:tr>
      <w:tr w:rsidR="008602F4" w:rsidTr="008602F4">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Założenia i cele przedmiotu</w:t>
            </w:r>
          </w:p>
        </w:tc>
        <w:tc>
          <w:tcPr>
            <w:tcW w:w="760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D008FD" w:rsidP="007266FF">
            <w:pPr>
              <w:rPr>
                <w:rFonts w:asciiTheme="minorHAnsi" w:eastAsiaTheme="minorHAnsi" w:hAnsiTheme="minorHAnsi"/>
              </w:rPr>
            </w:pPr>
            <w:r w:rsidRPr="00D008FD">
              <w:rPr>
                <w:rFonts w:asciiTheme="minorHAnsi" w:eastAsiaTheme="minorHAnsi" w:hAnsiTheme="minorHAnsi"/>
              </w:rPr>
              <w:t>Celem wykładu jest zaznajomienie studentów z problematyką początków Państwa Polskiego, najważniejszymi źródłami i teoriami naukowymi w tej kwestii Jednym z głównych zadań jest przedstawienie złożoności problemu Polski Pierwszych Piastów, wzajemnych związków między archeologią, historią, historią Kościoła i religii zarówno na obszarze ówczesnej Polski jak i Europy. Podczas wykładu prezentowane są także liczne hipotezy badawcze, które mogą stać się dla słuchaczy wykładu ins</w:t>
            </w:r>
            <w:r>
              <w:rPr>
                <w:rFonts w:asciiTheme="minorHAnsi" w:eastAsiaTheme="minorHAnsi" w:hAnsiTheme="minorHAnsi"/>
              </w:rPr>
              <w:t>piracją do samodzielnych badań.</w:t>
            </w:r>
          </w:p>
        </w:tc>
      </w:tr>
      <w:tr w:rsidR="008602F4" w:rsidTr="008602F4">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Metody i pomoce dydaktyczne</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8602F4" w:rsidRDefault="00D7278A">
            <w:pPr>
              <w:autoSpaceDE w:val="0"/>
              <w:spacing w:after="0" w:line="240" w:lineRule="auto"/>
              <w:jc w:val="both"/>
              <w:rPr>
                <w:rFonts w:asciiTheme="minorHAnsi" w:eastAsia="Garamond" w:hAnsiTheme="minorHAnsi"/>
              </w:rPr>
            </w:pPr>
            <w:r>
              <w:rPr>
                <w:rFonts w:asciiTheme="minorHAnsi" w:eastAsia="Garamond" w:hAnsiTheme="minorHAnsi"/>
              </w:rPr>
              <w:t>W</w:t>
            </w:r>
            <w:r w:rsidRPr="00D7278A">
              <w:rPr>
                <w:rFonts w:asciiTheme="minorHAnsi" w:eastAsia="Garamond" w:hAnsiTheme="minorHAnsi"/>
              </w:rPr>
              <w:t>ykład z prezentacją</w:t>
            </w:r>
          </w:p>
        </w:tc>
      </w:tr>
      <w:tr w:rsidR="008602F4" w:rsidTr="008602F4">
        <w:trPr>
          <w:trHeight w:val="581"/>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Forma i warunki zaliczenia</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8602F4" w:rsidRDefault="00C57EF3">
            <w:pPr>
              <w:autoSpaceDE w:val="0"/>
              <w:spacing w:after="0" w:line="240" w:lineRule="auto"/>
              <w:jc w:val="both"/>
              <w:rPr>
                <w:rFonts w:asciiTheme="minorHAnsi" w:eastAsia="Garamond" w:hAnsiTheme="minorHAnsi"/>
              </w:rPr>
            </w:pPr>
            <w:r>
              <w:rPr>
                <w:rFonts w:asciiTheme="minorHAnsi" w:eastAsia="Garamond" w:hAnsiTheme="minorHAnsi"/>
              </w:rPr>
              <w:t>Z</w:t>
            </w:r>
            <w:r w:rsidR="00D079E3" w:rsidRPr="00D079E3">
              <w:rPr>
                <w:rFonts w:asciiTheme="minorHAnsi" w:eastAsia="Garamond" w:hAnsiTheme="minorHAnsi"/>
              </w:rPr>
              <w:t>aliczenie bez oceny</w:t>
            </w:r>
          </w:p>
          <w:p w:rsidR="008602F4" w:rsidRDefault="008602F4">
            <w:pPr>
              <w:autoSpaceDE w:val="0"/>
              <w:spacing w:after="0" w:line="240" w:lineRule="auto"/>
              <w:jc w:val="both"/>
              <w:rPr>
                <w:rFonts w:asciiTheme="minorHAnsi" w:eastAsia="Garamond" w:hAnsiTheme="minorHAnsi"/>
              </w:rPr>
            </w:pPr>
          </w:p>
        </w:tc>
      </w:tr>
      <w:tr w:rsidR="008602F4" w:rsidTr="008602F4">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Treści programowe</w:t>
            </w:r>
          </w:p>
        </w:tc>
        <w:tc>
          <w:tcPr>
            <w:tcW w:w="760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D008FD" w:rsidP="007266FF">
            <w:pPr>
              <w:spacing w:after="0"/>
              <w:rPr>
                <w:rFonts w:asciiTheme="minorHAnsi" w:eastAsiaTheme="minorHAnsi" w:hAnsiTheme="minorHAnsi"/>
              </w:rPr>
            </w:pPr>
            <w:r w:rsidRPr="00D008FD">
              <w:rPr>
                <w:rFonts w:asciiTheme="minorHAnsi" w:eastAsiaTheme="minorHAnsi" w:hAnsiTheme="minorHAnsi"/>
              </w:rPr>
              <w:t xml:space="preserve">Wykład jest umiejscowiony w perspektywie kilku wieków badań nad początkami Polski stąd też ważną jego częścią jest omówienie literatury przedmiotu oraz  badaczy zajmujących się tą problematyką. Ważnym zagadnieniem jest także problem upadku Polski pierwszych Piastów w I poł. XI w., poszukiwanie przyczyn tego kryzysu (także wewnątrzpaństwowych). Kolejny problem,  to obraz władców Polski (szczególnie Mieszka I) przedstawiony w Kronice biskupa </w:t>
            </w:r>
            <w:proofErr w:type="spellStart"/>
            <w:r w:rsidRPr="00D008FD">
              <w:rPr>
                <w:rFonts w:asciiTheme="minorHAnsi" w:eastAsiaTheme="minorHAnsi" w:hAnsiTheme="minorHAnsi"/>
              </w:rPr>
              <w:t>merseburskiego</w:t>
            </w:r>
            <w:proofErr w:type="spellEnd"/>
            <w:r w:rsidRPr="00D008FD">
              <w:rPr>
                <w:rFonts w:asciiTheme="minorHAnsi" w:eastAsiaTheme="minorHAnsi" w:hAnsiTheme="minorHAnsi"/>
              </w:rPr>
              <w:t xml:space="preserve"> </w:t>
            </w:r>
            <w:proofErr w:type="spellStart"/>
            <w:r w:rsidRPr="00D008FD">
              <w:rPr>
                <w:rFonts w:asciiTheme="minorHAnsi" w:eastAsiaTheme="minorHAnsi" w:hAnsiTheme="minorHAnsi"/>
              </w:rPr>
              <w:t>Thietmara</w:t>
            </w:r>
            <w:proofErr w:type="spellEnd"/>
            <w:r w:rsidRPr="00D008FD">
              <w:rPr>
                <w:rFonts w:asciiTheme="minorHAnsi" w:eastAsiaTheme="minorHAnsi" w:hAnsiTheme="minorHAnsi"/>
              </w:rPr>
              <w:t xml:space="preserve">. Podczas wykładu omawiane są konflikty zbrojne Polski X i XI wieku, w tym szczególnie wojny polsko-niemieckie (wątek szczegółowy: bitwa pod Cedynią, jej okoliczności, przyczyny i przebieg). Jednym z najważniejszych problemów poruszanych podczas wykładu jest chrystianizacja Polski. Szczegółowo są omawiane kwestie okoliczności przyjęcia chrztu przez Mieszka I, problem daty i miejsca tego wydarzenia a także problemy dotyczące struktur i organizacji Kościoła w Polsce pierwszych Piastów (najstarsze biskupstwa, powstanie metropolii gnieźnieńskiej). Wiele uwagi poświęca się także postaciom świętych związanych z pierwszymi latami chrześcijaństwa Polski: św. Wojciecha, Pięciu Braci Męczenników oraz św. Brunona z </w:t>
            </w:r>
            <w:proofErr w:type="spellStart"/>
            <w:r w:rsidRPr="00D008FD">
              <w:rPr>
                <w:rFonts w:asciiTheme="minorHAnsi" w:eastAsiaTheme="minorHAnsi" w:hAnsiTheme="minorHAnsi"/>
              </w:rPr>
              <w:t>Kwerfurtu</w:t>
            </w:r>
            <w:proofErr w:type="spellEnd"/>
            <w:r w:rsidRPr="00D008FD">
              <w:rPr>
                <w:rFonts w:asciiTheme="minorHAnsi" w:eastAsiaTheme="minorHAnsi" w:hAnsiTheme="minorHAnsi"/>
              </w:rPr>
              <w:t xml:space="preserve">. Istotnym elementem wykładu jest przedstawienie roli św. Brunona w procesie ugruntowania chrześcijaństwa w Europie Środkowej i w Polsce oraz omówienie pozostałych po nim tekstów (Żywot św. Wojciecha oraz Pięciu Braci Męczenników a także List do króla Henryka). Podczas wykładu omawiane są także najstarsze symbole władzy i państwa wiązane z Polską Piastów a spośród zagadnień politycznych, relacje Bolesława Chrobrego z Rusią i państwem czeskim.  Podczas wykładu poruszany jest także problem kobiet związanych z Polską Pierwszych </w:t>
            </w:r>
            <w:r w:rsidRPr="00D008FD">
              <w:rPr>
                <w:rFonts w:asciiTheme="minorHAnsi" w:eastAsiaTheme="minorHAnsi" w:hAnsiTheme="minorHAnsi"/>
              </w:rPr>
              <w:lastRenderedPageBreak/>
              <w:t>Piastów, żon i córek piastowskich monarchów.</w:t>
            </w:r>
          </w:p>
        </w:tc>
      </w:tr>
      <w:tr w:rsidR="008602F4" w:rsidTr="008602F4">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lastRenderedPageBreak/>
              <w:t xml:space="preserve">Literatura </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D008FD" w:rsidRPr="00C57EF3" w:rsidRDefault="00D008FD" w:rsidP="00D008FD">
            <w:pPr>
              <w:autoSpaceDE w:val="0"/>
              <w:spacing w:after="0" w:line="240" w:lineRule="auto"/>
              <w:jc w:val="both"/>
              <w:rPr>
                <w:rFonts w:asciiTheme="minorHAnsi" w:eastAsia="Garamond" w:hAnsiTheme="minorHAnsi"/>
                <w:b/>
              </w:rPr>
            </w:pPr>
            <w:r w:rsidRPr="00C57EF3">
              <w:rPr>
                <w:rFonts w:asciiTheme="minorHAnsi" w:eastAsia="Garamond" w:hAnsiTheme="minorHAnsi"/>
                <w:b/>
              </w:rPr>
              <w:t>Literatura podstawowa</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Początki państwa polskiego. Księga Tysiąclecia, red. K. Tymieniecki, t. I-II, Poznań 1962.</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G. Labuda, Studia nad początkami państwa polskiego, t. I – II, Poznań 1987 – 1988.</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Polska Pierwszych Piastów. Państwo, społeczeństwo, kultura, red. T. Manteuffel, Warszawa 1968.</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W. Abraham, Organizacja kościoła w Polsce do połowy XII w., Poznań 1962</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K. Jasiński, Rodowód pierwszych Piastów, Poznań 2004.</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G. Labuda, Szkice historyczne X-XI wieku, Poznań 2004.</w:t>
            </w:r>
          </w:p>
          <w:p w:rsidR="00D008FD" w:rsidRPr="00D008FD" w:rsidRDefault="00D008FD" w:rsidP="00D008FD">
            <w:pPr>
              <w:autoSpaceDE w:val="0"/>
              <w:spacing w:after="0" w:line="240" w:lineRule="auto"/>
              <w:jc w:val="both"/>
              <w:rPr>
                <w:rFonts w:asciiTheme="minorHAnsi" w:eastAsia="Garamond" w:hAnsiTheme="minorHAnsi"/>
              </w:rPr>
            </w:pPr>
          </w:p>
          <w:p w:rsidR="00D008FD" w:rsidRPr="00C57EF3" w:rsidRDefault="00D008FD" w:rsidP="00D008FD">
            <w:pPr>
              <w:autoSpaceDE w:val="0"/>
              <w:spacing w:after="0" w:line="240" w:lineRule="auto"/>
              <w:jc w:val="both"/>
              <w:rPr>
                <w:rFonts w:asciiTheme="minorHAnsi" w:eastAsia="Garamond" w:hAnsiTheme="minorHAnsi"/>
                <w:b/>
              </w:rPr>
            </w:pPr>
            <w:r w:rsidRPr="00C57EF3">
              <w:rPr>
                <w:rFonts w:asciiTheme="minorHAnsi" w:eastAsia="Garamond" w:hAnsiTheme="minorHAnsi"/>
                <w:b/>
              </w:rPr>
              <w:t>Literatura uzupełniająca</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J. Strzelczyk, Mieszko Pierwszy, Poznań 1992.</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J. Strzelczyk, Bolesław Chrobry, Poznań 2003.</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G. Labuda, Mieszko II Król Polski (1025 – 1034). Czasy przełomu w dziejach państwa polskiego, Kraków 1992.</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D. Borawska, Kryzys monarchii wczesnopiastowskiej w latach trzydziestych XI w., Warszawa 1964.</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A. Gieysztor, Mitologia Słowian, Warszawa 1982.</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T. Wojciechowski, Szkice historyczne XI wieku, Warszawa 1951.</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P. Urbańczyk, Władza i polityka we wczesnym średniowieczu, Wrocław 2000.</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A. Pleszczyński, Niemcy wobec pierwszej monarchii piastowskiej (963-1034), Lublin 2008.</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K. Buczek, Pierwsze biskupstwa polskie, Kraków 1995.</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J. Dowiat, Chrzest Polski, Warszawa 1962.</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K. Modzelewski, Organizacja gospodarcza państwa piastowskiego. X – XIII w. Poznań 2000.</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J. Dobosz, Monarchia i możni wobec Kościoła w Polsce do początku XIII w., Poznań 2002.</w:t>
            </w:r>
          </w:p>
          <w:p w:rsidR="00D008FD" w:rsidRPr="00D008FD" w:rsidRDefault="00D008FD" w:rsidP="00D008FD">
            <w:pPr>
              <w:autoSpaceDE w:val="0"/>
              <w:spacing w:after="0" w:line="240" w:lineRule="auto"/>
              <w:jc w:val="both"/>
              <w:rPr>
                <w:rFonts w:asciiTheme="minorHAnsi" w:eastAsia="Garamond" w:hAnsiTheme="minorHAnsi"/>
              </w:rPr>
            </w:pPr>
            <w:r w:rsidRPr="00D008FD">
              <w:rPr>
                <w:rFonts w:asciiTheme="minorHAnsi" w:eastAsia="Garamond" w:hAnsiTheme="minorHAnsi"/>
              </w:rPr>
              <w:t>Z. Świechowski, Sztuka romańska w Polsce, Warszawa 1990.</w:t>
            </w:r>
          </w:p>
          <w:p w:rsidR="008602F4" w:rsidRDefault="00D008FD">
            <w:pPr>
              <w:autoSpaceDE w:val="0"/>
              <w:spacing w:after="0" w:line="240" w:lineRule="auto"/>
              <w:jc w:val="both"/>
              <w:rPr>
                <w:rFonts w:asciiTheme="minorHAnsi" w:eastAsia="Garamond" w:hAnsiTheme="minorHAnsi"/>
              </w:rPr>
            </w:pPr>
            <w:r w:rsidRPr="00D008FD">
              <w:rPr>
                <w:rFonts w:asciiTheme="minorHAnsi" w:eastAsia="Garamond" w:hAnsiTheme="minorHAnsi"/>
              </w:rPr>
              <w:t>Chrześcijaństwo w Polsce. Zarys przemian, r</w:t>
            </w:r>
            <w:r w:rsidR="00D7278A">
              <w:rPr>
                <w:rFonts w:asciiTheme="minorHAnsi" w:eastAsia="Garamond" w:hAnsiTheme="minorHAnsi"/>
              </w:rPr>
              <w:t>ed. J. Kłoczowski, Lublin 1980.</w:t>
            </w:r>
          </w:p>
        </w:tc>
      </w:tr>
      <w:tr w:rsidR="008602F4" w:rsidTr="008602F4">
        <w:trPr>
          <w:trHeight w:val="559"/>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602F4" w:rsidRDefault="008602F4">
            <w:pPr>
              <w:autoSpaceDE w:val="0"/>
              <w:spacing w:after="0" w:line="240" w:lineRule="auto"/>
              <w:jc w:val="center"/>
              <w:rPr>
                <w:rFonts w:asciiTheme="minorHAnsi" w:eastAsia="Garamond" w:hAnsiTheme="minorHAnsi"/>
                <w:b/>
                <w:bCs/>
              </w:rPr>
            </w:pPr>
            <w:r>
              <w:rPr>
                <w:rFonts w:asciiTheme="minorHAnsi" w:eastAsia="Garamond" w:hAnsiTheme="minorHAnsi"/>
                <w:b/>
                <w:bCs/>
              </w:rPr>
              <w:t>Osoba prowadząca zajęcia</w:t>
            </w:r>
            <w:r w:rsidR="00C57EF3">
              <w:rPr>
                <w:rFonts w:asciiTheme="minorHAnsi" w:eastAsia="Garamond" w:hAnsiTheme="minorHAnsi"/>
                <w:b/>
                <w:bCs/>
              </w:rPr>
              <w:t xml:space="preserve"> (autor sylabusa)</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C57EF3" w:rsidRDefault="00C57EF3">
            <w:pPr>
              <w:pStyle w:val="Akapitzlist"/>
              <w:ind w:left="0"/>
              <w:jc w:val="center"/>
              <w:rPr>
                <w:rFonts w:asciiTheme="minorHAnsi" w:hAnsiTheme="minorHAnsi"/>
              </w:rPr>
            </w:pPr>
          </w:p>
          <w:p w:rsidR="008602F4" w:rsidRPr="00C57EF3" w:rsidRDefault="00C57EF3">
            <w:pPr>
              <w:pStyle w:val="Akapitzlist"/>
              <w:ind w:left="0"/>
              <w:jc w:val="center"/>
              <w:rPr>
                <w:rFonts w:asciiTheme="minorHAnsi" w:hAnsiTheme="minorHAnsi"/>
                <w:b/>
              </w:rPr>
            </w:pPr>
            <w:r w:rsidRPr="00C57EF3">
              <w:rPr>
                <w:rFonts w:asciiTheme="minorHAnsi" w:hAnsiTheme="minorHAnsi"/>
                <w:b/>
              </w:rPr>
              <w:t>d</w:t>
            </w:r>
            <w:r w:rsidR="00D7278A" w:rsidRPr="00C57EF3">
              <w:rPr>
                <w:rFonts w:asciiTheme="minorHAnsi" w:hAnsiTheme="minorHAnsi"/>
                <w:b/>
              </w:rPr>
              <w:t xml:space="preserve">r Piotr </w:t>
            </w:r>
            <w:proofErr w:type="spellStart"/>
            <w:r w:rsidR="00D7278A" w:rsidRPr="00C57EF3">
              <w:rPr>
                <w:rFonts w:asciiTheme="minorHAnsi" w:hAnsiTheme="minorHAnsi"/>
                <w:b/>
              </w:rPr>
              <w:t>Plisiecki</w:t>
            </w:r>
            <w:proofErr w:type="spellEnd"/>
          </w:p>
        </w:tc>
      </w:tr>
    </w:tbl>
    <w:p w:rsidR="00642BD9" w:rsidRDefault="00642BD9"/>
    <w:sectPr w:rsidR="00642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3A"/>
    <w:rsid w:val="00482DAE"/>
    <w:rsid w:val="00642BD9"/>
    <w:rsid w:val="007266FF"/>
    <w:rsid w:val="008602F4"/>
    <w:rsid w:val="00C57EF3"/>
    <w:rsid w:val="00D008FD"/>
    <w:rsid w:val="00D079E3"/>
    <w:rsid w:val="00D7278A"/>
    <w:rsid w:val="00F32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2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0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2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3</cp:revision>
  <dcterms:created xsi:type="dcterms:W3CDTF">2012-11-25T01:56:00Z</dcterms:created>
  <dcterms:modified xsi:type="dcterms:W3CDTF">2012-11-29T14:40:00Z</dcterms:modified>
</cp:coreProperties>
</file>