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FB54A4" w:rsidTr="00FB54A4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B54A4">
              <w:rPr>
                <w:rFonts w:asciiTheme="minorHAnsi" w:eastAsia="Garamond" w:hAnsiTheme="minorHAnsi"/>
                <w:b/>
                <w:bCs/>
              </w:rPr>
              <w:t>Historia</w:t>
            </w:r>
            <w:r w:rsidR="00C66BF8">
              <w:rPr>
                <w:rFonts w:asciiTheme="minorHAnsi" w:eastAsia="Garamond" w:hAnsiTheme="minorHAnsi"/>
                <w:b/>
                <w:bCs/>
              </w:rPr>
              <w:t xml:space="preserve"> (stacjonarne II st.) – rok II sem. III</w:t>
            </w:r>
            <w:r w:rsidRPr="00FB54A4">
              <w:rPr>
                <w:rFonts w:asciiTheme="minorHAnsi" w:hAnsiTheme="minorHAnsi"/>
                <w:b/>
              </w:rPr>
              <w:t>, specjalizacja archiwalna</w:t>
            </w:r>
          </w:p>
          <w:p w:rsidR="00CF7D6B" w:rsidRPr="00FB54A4" w:rsidRDefault="00CF7D6B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FB54A4" w:rsidRPr="00E064A3" w:rsidRDefault="00C66BF8" w:rsidP="00C66BF8">
            <w:pPr>
              <w:pStyle w:val="Akapitzlist"/>
              <w:spacing w:line="240" w:lineRule="auto"/>
              <w:rPr>
                <w:rFonts w:asciiTheme="minorHAnsi" w:hAnsiTheme="minorHAnsi"/>
                <w:b/>
              </w:rPr>
            </w:pPr>
            <w:r w:rsidRPr="00C66BF8">
              <w:rPr>
                <w:rFonts w:asciiTheme="minorHAnsi" w:hAnsiTheme="minorHAnsi"/>
                <w:b/>
              </w:rPr>
              <w:t>Ochrona praw autorskich i informacje niejawne w teorii i praktyce archiwalnej (wykład)</w:t>
            </w:r>
          </w:p>
        </w:tc>
      </w:tr>
      <w:tr w:rsidR="00FB54A4" w:rsidTr="00FB54A4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E064A3" w:rsidRDefault="00E064A3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66BF8" w:rsidP="00CF7D6B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15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272EF7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  <w:bookmarkStart w:id="0" w:name="_GoBack"/>
            <w:bookmarkEnd w:id="0"/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0D3AEB" w:rsidP="000D3AE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Celem wykładu jest zapoznanie studentów z podstawowymi pojęciami i zasadami ochrony praw autorskich oraz informacji niejawnych z uwzględnieniem kontekstu archiwalnego.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66BF8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Wykład</w:t>
            </w:r>
          </w:p>
          <w:p w:rsidR="00FB54A4" w:rsidRDefault="00FB54A4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FB54A4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4A4" w:rsidRDefault="00C66BF8" w:rsidP="00891E9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Egzamin ustny</w:t>
            </w: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3AEB" w:rsidRDefault="000D3AEB" w:rsidP="000D3AE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 Podstawowe pojęcia z zakresu ochrony informacji niejawnych; klasyfikacja informacji niejawnych – klauzule i okresy ich obowiązywania; organizacja ochrony informacji niejawnych; szkolenia;  bezpieczeństwo osobowe – certyfikaty; bezpieczeństwo  fizyczne – kancelarie tajne; bezpieczeństwo teleinformatyczne.</w:t>
            </w:r>
          </w:p>
          <w:p w:rsidR="000D3AEB" w:rsidRDefault="000D3AEB" w:rsidP="000D3AEB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Podstawowe pojęcie z zakresu prawa autorskiego; przedmiot i podmiot praw; prawa osobiste a prawa majątkowe; okresy ochrony praw; geneza praw autorskich; naruszenia praw autorskich; użytek dozwolony.</w:t>
            </w:r>
          </w:p>
          <w:p w:rsidR="000D3AEB" w:rsidRDefault="000D3AEB" w:rsidP="000D3A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4A4" w:rsidTr="00FB54A4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5E475A" w:rsidRDefault="005E475A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</w:p>
          <w:p w:rsidR="005E475A" w:rsidRPr="005E475A" w:rsidRDefault="0052692F" w:rsidP="005E475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Ustawy</w:t>
            </w:r>
          </w:p>
          <w:p w:rsidR="005E475A" w:rsidRPr="005E475A" w:rsidRDefault="005E475A" w:rsidP="005E475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E475A">
              <w:rPr>
                <w:rFonts w:asciiTheme="minorHAnsi" w:eastAsia="Garamond" w:hAnsiTheme="minorHAnsi"/>
              </w:rPr>
              <w:t>z dnia 4 lutego 1994 r. o prawie autorskim i prawach pokrewnych;</w:t>
            </w:r>
          </w:p>
          <w:p w:rsidR="005E475A" w:rsidRPr="005E475A" w:rsidRDefault="005E475A" w:rsidP="005E475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E475A">
              <w:rPr>
                <w:rFonts w:asciiTheme="minorHAnsi" w:eastAsia="Garamond" w:hAnsiTheme="minorHAnsi"/>
              </w:rPr>
              <w:t>z dnia 5 sierpnia 2010 r. o ochronie informacji niejawnych</w:t>
            </w:r>
          </w:p>
          <w:p w:rsidR="005E475A" w:rsidRPr="005E475A" w:rsidRDefault="005E475A" w:rsidP="005E475A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E475A">
              <w:rPr>
                <w:rFonts w:asciiTheme="minorHAnsi" w:eastAsia="Garamond" w:hAnsiTheme="minorHAnsi"/>
              </w:rPr>
              <w:t>oraz akty wykonawcze dostępne na portalu http://isap.sejm.gov.pl</w:t>
            </w:r>
          </w:p>
          <w:p w:rsidR="00725488" w:rsidRP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25488" w:rsidRDefault="00725488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CF7D6B">
              <w:rPr>
                <w:rFonts w:asciiTheme="minorHAnsi" w:eastAsia="Garamond" w:hAnsiTheme="minorHAnsi"/>
                <w:b/>
              </w:rPr>
              <w:t>Literatura uzupełniająca</w:t>
            </w:r>
            <w:r w:rsidRPr="00725488">
              <w:rPr>
                <w:rFonts w:asciiTheme="minorHAnsi" w:eastAsia="Garamond" w:hAnsiTheme="minorHAnsi"/>
              </w:rPr>
              <w:t>:</w:t>
            </w:r>
          </w:p>
          <w:p w:rsidR="005E475A" w:rsidRDefault="005E475A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5E475A" w:rsidRDefault="0052692F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2692F">
              <w:rPr>
                <w:rFonts w:asciiTheme="minorHAnsi" w:eastAsia="Garamond" w:hAnsiTheme="minorHAnsi"/>
              </w:rPr>
              <w:t>Taradejna M., Taradejna R., Dostęp do informacji publicznej a prawna ochrona informacji dotyczących działalności gospodarczej, społecznej i zawodowej oraz życia prywatnego, Toruń 2003.;</w:t>
            </w:r>
          </w:p>
          <w:p w:rsidR="0052692F" w:rsidRDefault="0052692F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2692F">
              <w:rPr>
                <w:rFonts w:asciiTheme="minorHAnsi" w:eastAsia="Garamond" w:hAnsiTheme="minorHAnsi"/>
              </w:rPr>
              <w:t>Nałęcz D., Ochrona danych osobowych – otwarte problemy, „Archeion“ 109(2006), 5-9;</w:t>
            </w:r>
          </w:p>
          <w:p w:rsidR="0052692F" w:rsidRPr="00725488" w:rsidRDefault="0052692F" w:rsidP="0052692F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Golat R., </w:t>
            </w:r>
            <w:r w:rsidRPr="0052692F">
              <w:rPr>
                <w:rFonts w:asciiTheme="minorHAnsi" w:eastAsia="Garamond" w:hAnsiTheme="minorHAnsi"/>
              </w:rPr>
              <w:t>Prawo autorskie : komenta</w:t>
            </w:r>
            <w:r>
              <w:rPr>
                <w:rFonts w:asciiTheme="minorHAnsi" w:eastAsia="Garamond" w:hAnsiTheme="minorHAnsi"/>
              </w:rPr>
              <w:t xml:space="preserve">rz dla praktyków, Gdańsk </w:t>
            </w:r>
            <w:r w:rsidRPr="0052692F">
              <w:rPr>
                <w:rFonts w:asciiTheme="minorHAnsi" w:eastAsia="Garamond" w:hAnsiTheme="minorHAnsi"/>
              </w:rPr>
              <w:t>2010.</w:t>
            </w:r>
          </w:p>
          <w:p w:rsidR="00FB54A4" w:rsidRDefault="00FB54A4" w:rsidP="0072548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FB54A4" w:rsidTr="009329F6">
        <w:trPr>
          <w:trHeight w:val="6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54A4" w:rsidRDefault="00FB54A4" w:rsidP="00891E9F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  <w:r w:rsidR="00CF7D6B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D6B" w:rsidRDefault="00CF7D6B" w:rsidP="00891E9F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9329F6" w:rsidRPr="00CF7D6B" w:rsidRDefault="00C66BF8" w:rsidP="00891E9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Ks. diakon </w:t>
            </w:r>
            <w:r w:rsidR="00CF7D6B" w:rsidRPr="00CF7D6B"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  <w:b/>
              </w:rPr>
              <w:t>r Piotr Siwicki</w:t>
            </w:r>
          </w:p>
        </w:tc>
      </w:tr>
    </w:tbl>
    <w:p w:rsidR="007260DF" w:rsidRDefault="007260DF"/>
    <w:sectPr w:rsidR="0072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21"/>
    <w:rsid w:val="000D3AEB"/>
    <w:rsid w:val="000E0DD8"/>
    <w:rsid w:val="000E1F24"/>
    <w:rsid w:val="00272EF7"/>
    <w:rsid w:val="0052692F"/>
    <w:rsid w:val="005E475A"/>
    <w:rsid w:val="00725488"/>
    <w:rsid w:val="007260DF"/>
    <w:rsid w:val="00832721"/>
    <w:rsid w:val="00886FF7"/>
    <w:rsid w:val="009329F6"/>
    <w:rsid w:val="00B21074"/>
    <w:rsid w:val="00C66BF8"/>
    <w:rsid w:val="00CF7D6B"/>
    <w:rsid w:val="00DF06F8"/>
    <w:rsid w:val="00E064A3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3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54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D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2012-12-06T20:05:00Z</dcterms:created>
  <dcterms:modified xsi:type="dcterms:W3CDTF">2012-12-10T09:48:00Z</dcterms:modified>
</cp:coreProperties>
</file>