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8C4587" w:rsidRPr="001A615C" w:rsidTr="008C458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8C4587" w:rsidRPr="001A615C" w:rsidTr="008C458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187418" w:rsidP="0018741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Historia, studia stacjonarne 2 stopnia, 3 semestr</w:t>
            </w:r>
          </w:p>
        </w:tc>
      </w:tr>
      <w:tr w:rsidR="008C4587" w:rsidRPr="001A615C" w:rsidTr="008C458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87" w:rsidRPr="001A615C" w:rsidRDefault="00187418" w:rsidP="00187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5C">
              <w:rPr>
                <w:rFonts w:ascii="Times New Roman" w:hAnsi="Times New Roman"/>
                <w:b/>
                <w:sz w:val="24"/>
                <w:szCs w:val="24"/>
              </w:rPr>
              <w:t>Źródłoznawstwo czasów nowożytnych</w:t>
            </w:r>
            <w:r w:rsidRPr="001A615C">
              <w:rPr>
                <w:rFonts w:ascii="Times New Roman" w:hAnsi="Times New Roman"/>
                <w:sz w:val="24"/>
                <w:szCs w:val="24"/>
              </w:rPr>
              <w:t xml:space="preserve"> (konwersatorium)</w:t>
            </w:r>
          </w:p>
        </w:tc>
      </w:tr>
      <w:tr w:rsidR="008C4587" w:rsidRPr="001A615C" w:rsidTr="008C458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1A615C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602B2" w:rsidRPr="001A615C" w:rsidRDefault="005602B2" w:rsidP="00AD07C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8C4587" w:rsidRPr="001A615C" w:rsidTr="008C458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87" w:rsidRPr="001A615C" w:rsidRDefault="005602B2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4587" w:rsidRPr="001A615C" w:rsidTr="008C458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87" w:rsidRPr="001A615C" w:rsidRDefault="001A615C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8C4587" w:rsidRPr="001A615C" w:rsidTr="008C458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5602B2" w:rsidP="00AD07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15C">
              <w:rPr>
                <w:rFonts w:ascii="Times New Roman" w:eastAsiaTheme="minorHAnsi" w:hAnsi="Times New Roman"/>
                <w:sz w:val="24"/>
                <w:szCs w:val="24"/>
              </w:rPr>
              <w:t xml:space="preserve">Studenci poznają </w:t>
            </w:r>
            <w:r w:rsidR="00B72B6D" w:rsidRPr="001A615C">
              <w:rPr>
                <w:rFonts w:ascii="Times New Roman" w:eastAsiaTheme="minorHAnsi" w:hAnsi="Times New Roman"/>
                <w:sz w:val="24"/>
                <w:szCs w:val="24"/>
              </w:rPr>
              <w:t>różne</w:t>
            </w:r>
            <w:r w:rsidRPr="001A615C">
              <w:rPr>
                <w:rFonts w:ascii="Times New Roman" w:eastAsiaTheme="minorHAnsi" w:hAnsi="Times New Roman"/>
                <w:sz w:val="24"/>
                <w:szCs w:val="24"/>
              </w:rPr>
              <w:t xml:space="preserve"> rodzaje źródeł nowożytnych, nabywają umiejętność krytycznego spojrzenia na te źródła, poznają sposoby ich wykorzystania i metody analiz, które można wykorzystać w pracy naukowej.</w:t>
            </w:r>
          </w:p>
        </w:tc>
      </w:tr>
      <w:tr w:rsidR="008C4587" w:rsidRPr="001A615C" w:rsidTr="008C458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87" w:rsidRPr="001A615C" w:rsidRDefault="00B72B6D" w:rsidP="00B72B6D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Wykład</w:t>
            </w:r>
          </w:p>
        </w:tc>
      </w:tr>
      <w:tr w:rsidR="008C4587" w:rsidRPr="001A615C" w:rsidTr="008C458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87" w:rsidRPr="001A615C" w:rsidRDefault="00B72B6D" w:rsidP="00AD07C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Egzamin na zakończenie kursu</w:t>
            </w:r>
          </w:p>
        </w:tc>
      </w:tr>
      <w:tr w:rsidR="008C4587" w:rsidRPr="001A615C" w:rsidTr="008C458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Default="005602B2" w:rsidP="00AD07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15C">
              <w:rPr>
                <w:rFonts w:ascii="Times New Roman" w:eastAsiaTheme="minorHAnsi" w:hAnsi="Times New Roman"/>
                <w:sz w:val="24"/>
                <w:szCs w:val="24"/>
              </w:rPr>
              <w:t xml:space="preserve">W czasie konwersatorium omawiane są różne rodzaje źródeł historycznych wytwarzane w okresie nowożytnym przez kancelarie proweniencji królewskiej, kościelnej, miejskiej, sądowej, a także takie, które powstawały w wyniku działań osób prywatnych. W ramach konwersatorium dużo miejsca poświęca się dziejom Metryki Koronnej i jej poszczególnych serii ksiąg. Omawiane są funkcje ksiąg wpisów, poselstw, ksiąg </w:t>
            </w:r>
            <w:proofErr w:type="spellStart"/>
            <w:r w:rsidRPr="001A615C">
              <w:rPr>
                <w:rFonts w:ascii="Times New Roman" w:eastAsiaTheme="minorHAnsi" w:hAnsi="Times New Roman"/>
                <w:sz w:val="24"/>
                <w:szCs w:val="24"/>
              </w:rPr>
              <w:t>pieczętnych</w:t>
            </w:r>
            <w:proofErr w:type="spellEnd"/>
            <w:r w:rsidRPr="001A615C">
              <w:rPr>
                <w:rFonts w:ascii="Times New Roman" w:eastAsiaTheme="minorHAnsi" w:hAnsi="Times New Roman"/>
                <w:sz w:val="24"/>
                <w:szCs w:val="24"/>
              </w:rPr>
              <w:t xml:space="preserve"> i ksiąg spraw kanclerskich. Poruszane są również zagadnienia związane z produkcją aktową centralnych sądów działających pod przewodnictwem króla. Szczególne dużo miejsca poświęca się księgom lustracji dóbr królewskich (analiza zapisów lustracyjnych). Ze źródeł o charakterze sądowym omawiane są księgi szlacheckich sądów grodzkich i ziemskich oraz kościelnych sądów konsystorskich i miejskich sądów ławniczych. Kolejnym typem dokumentacji źródłowej, której poświęca się szczególnie dużo miejsca to wizytacje parafialne. Szczegółowa analiza zapisów pozwala ustalić </w:t>
            </w:r>
            <w:proofErr w:type="spellStart"/>
            <w:r w:rsidRPr="001A615C">
              <w:rPr>
                <w:rFonts w:ascii="Times New Roman" w:eastAsiaTheme="minorHAnsi" w:hAnsi="Times New Roman"/>
                <w:sz w:val="24"/>
                <w:szCs w:val="24"/>
              </w:rPr>
              <w:t>naważniejszy</w:t>
            </w:r>
            <w:proofErr w:type="spellEnd"/>
            <w:r w:rsidRPr="001A615C">
              <w:rPr>
                <w:rFonts w:ascii="Times New Roman" w:eastAsiaTheme="minorHAnsi" w:hAnsi="Times New Roman"/>
                <w:sz w:val="24"/>
                <w:szCs w:val="24"/>
              </w:rPr>
              <w:t xml:space="preserve"> zakres tematyczny tego typu źródeł archiwalnych oraz możliwości wykorzystania ich w pracy naukowej. Ze źródeł o proweniencji kościelnej omawiane są również księgi metrykalne. W tym wypadku uwaga zwrócona jest przede wszystkim na możliwości wykorzystania tego rodzaju źródeł do badań genealogicznych, ale również demograficznych. Omawiane są również źródła pamiętnikarskie, kronikarskie i epistolarne, a także testamenty.</w:t>
            </w:r>
          </w:p>
          <w:p w:rsidR="001A615C" w:rsidRPr="001A615C" w:rsidRDefault="001A615C" w:rsidP="00AD07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4587" w:rsidRPr="001A615C" w:rsidTr="008C458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Literatura podstawowa: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Czapliński W., Pamiętnik jako źródło dla historyka nowożytnego, „Pamiętnikarstwo Polskie” 2(1972), nr 2;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Inwentarz metryki koronnej: księgi wpisów i dekretów polskiej kancelarii królewskiej z lat 1447-1795, oprac. I. Sułkowska-Kurasiowa, M. Woźniakowa, Warszawa, Łódź 1975;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Kuklo C., Źródła i badania nad statystyką demograficzną ziem polskich w okresie przed-rozbiorowym, [w:] Rozwój myśli i instytucji statystycznych na ziemiach polskich, red. S. Jońca, Warszawa 1994;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Kumor B., Źródła do statystyki kościelnej na ziemiach polskich od połowy XVI od XIX w., [w:] Rozwój myśli i instytucji statystycznych na ziemiach polskich, red. S. Jońca, Warszawa 1994;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Litak S., Akta wizytacyjne parafii z XVI-XVIII wieku jako źródło historyczne, „Zeszyty Naukowe KUL” 5(1962), nr 3, s.41-58;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Szymański J., Nauki pomocnicze historii, Warszawa 2002;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Literatura uzupełniająca: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Friedberg M., Kancelaria miasta Krakowa do połowy XVIII w. , „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” 24(1955);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 xml:space="preserve">Kennedy 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Grimsted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 xml:space="preserve"> P., Układ i zawartość Metryki litewskiej, „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” 80(1986);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Łossowski J., Kancelarie miast szlacheckich województwa lubelskiego, Lublin 1997;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Nowicki T., Źródła do badań biograficznych nad osiemnastowiecznym katolickim duchowieństwem parafialnym, „Studia Archiwalne” 1(2004), s.101-107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 xml:space="preserve">Olczak S., Wizytacja biskupa 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Rozrażewskiego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 xml:space="preserve"> jako źródło do badań szkolnictwa parafialnego, „Archiwa, Biblioteki i Muzea Kościelne” 40(1980), s.183-189;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Olczak S., Wizytacje jako źródło do badań nad klerem parafialnym, „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Summarium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” 8(1979), s.253-258;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Popiołek B., Woli mojej ostatniej testament ten...: testamenty staropolskie jako źródło do historii mentalności XVII i XVIII wieku, Kraków 2009;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 xml:space="preserve">Sułkowska – Kurasiowa I., Księgi 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sigillat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 xml:space="preserve"> Metryki koronnej (1658 – 1794), „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” 54(1970);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Sułkowska – Kurasiowa I., Księgi kanclerskie (księgi spraw publicznych) Metryki koronnej, „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” 60(1974);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Sułkowska – Kurasiowa I., Księgi wpisów Metryki koronnej (1447 – 1794) w Archiwum Głównym Akt Dawnych w Warszawie, „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” 44(1966);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Sułkowska – Kurasiowa I., Księgi poselskie (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Libri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Legationum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) Metryki koronnej, „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” 48(1968);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Tomczak A., Kancelaria biskupów włocławskich w okresie księgi wpisów (XV – XVIII w.), Toruń 1964;</w:t>
            </w:r>
          </w:p>
          <w:p w:rsidR="00B72B6D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Tomczak A., Kilka uwag o kancelarii królewskiej w drugiej połowie XVI w., „</w:t>
            </w:r>
            <w:proofErr w:type="spellStart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1A615C">
              <w:rPr>
                <w:rFonts w:ascii="Times New Roman" w:eastAsia="Garamond" w:hAnsi="Times New Roman"/>
                <w:sz w:val="24"/>
                <w:szCs w:val="24"/>
              </w:rPr>
              <w:t>” 37(1962);</w:t>
            </w:r>
          </w:p>
          <w:p w:rsidR="008C4587" w:rsidRPr="001A615C" w:rsidRDefault="00B72B6D" w:rsidP="00B72B6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sz w:val="24"/>
                <w:szCs w:val="24"/>
              </w:rPr>
              <w:t>Winniczuk, Epistolografia. Łacińskie podręczniki epistolograficzne w Polsce w XV – XVI wieku, Warszawa 1952;</w:t>
            </w:r>
          </w:p>
        </w:tc>
      </w:tr>
      <w:tr w:rsidR="008C4587" w:rsidRPr="001A615C" w:rsidTr="008C458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87" w:rsidRPr="001A615C" w:rsidRDefault="008C4587" w:rsidP="00AD07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1A615C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5C" w:rsidRDefault="001A615C" w:rsidP="00AD07C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587" w:rsidRPr="001A615C" w:rsidRDefault="001A615C" w:rsidP="00AD07C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5C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F92FA1" w:rsidRPr="001A615C">
              <w:rPr>
                <w:rFonts w:ascii="Times New Roman" w:hAnsi="Times New Roman"/>
                <w:b/>
                <w:sz w:val="24"/>
                <w:szCs w:val="24"/>
              </w:rPr>
              <w:t>r hab. Tomasz Nowicki</w:t>
            </w:r>
            <w:r w:rsidR="00F92FA1" w:rsidRPr="001A615C">
              <w:rPr>
                <w:rFonts w:ascii="Times New Roman" w:hAnsi="Times New Roman"/>
                <w:sz w:val="24"/>
                <w:szCs w:val="24"/>
              </w:rPr>
              <w:t>, tonowi@kul.pl, tel. 4454330</w:t>
            </w:r>
          </w:p>
        </w:tc>
      </w:tr>
    </w:tbl>
    <w:p w:rsidR="00250247" w:rsidRDefault="00250247"/>
    <w:sectPr w:rsidR="0025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76"/>
    <w:rsid w:val="00187418"/>
    <w:rsid w:val="001A615C"/>
    <w:rsid w:val="00250247"/>
    <w:rsid w:val="005602B2"/>
    <w:rsid w:val="008C4587"/>
    <w:rsid w:val="00B72B6D"/>
    <w:rsid w:val="00BD0A76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2012-11-25T13:17:00Z</dcterms:created>
  <dcterms:modified xsi:type="dcterms:W3CDTF">2012-12-02T10:44:00Z</dcterms:modified>
</cp:coreProperties>
</file>