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4B" w:rsidRPr="00DC58BA" w:rsidRDefault="00AE404B">
      <w:pPr>
        <w:rPr>
          <w:rFonts w:ascii="Arial" w:hAnsi="Arial" w:cs="Arial"/>
          <w:b/>
          <w:sz w:val="24"/>
          <w:szCs w:val="24"/>
          <w:lang w:val="pl-PL"/>
        </w:rPr>
      </w:pPr>
      <w:r w:rsidRPr="00DC58BA">
        <w:rPr>
          <w:rFonts w:ascii="Arial" w:hAnsi="Arial" w:cs="Arial"/>
          <w:b/>
          <w:sz w:val="24"/>
          <w:szCs w:val="24"/>
          <w:lang w:val="pl-PL"/>
        </w:rPr>
        <w:t>Materiały dla studentów III roku dot. wykładu z postępowania karnego w dniu 16 marca 2020 r. (prowadzący: M. Wąsek-Wiaderek).</w:t>
      </w:r>
    </w:p>
    <w:p w:rsidR="00AE404B" w:rsidRPr="00DC58BA" w:rsidRDefault="00AE404B" w:rsidP="00AE404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DC58BA">
        <w:rPr>
          <w:rFonts w:ascii="Arial" w:hAnsi="Arial" w:cs="Arial"/>
          <w:b/>
          <w:sz w:val="24"/>
          <w:szCs w:val="24"/>
          <w:u w:val="single"/>
          <w:lang w:val="pl-PL"/>
        </w:rPr>
        <w:t>Przesłanka z art. 17 § 1 pkt 6 k.p.k.:</w:t>
      </w:r>
    </w:p>
    <w:p w:rsidR="00AE404B" w:rsidRPr="00DC58BA" w:rsidRDefault="00AE404B" w:rsidP="00AE404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FB5801" w:rsidRPr="00DC58BA" w:rsidRDefault="00AE404B" w:rsidP="00FB5801">
      <w:pPr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</w:pPr>
      <w:r w:rsidRPr="00DC58BA">
        <w:rPr>
          <w:rFonts w:ascii="Arial" w:hAnsi="Arial" w:cs="Arial"/>
          <w:sz w:val="24"/>
          <w:szCs w:val="24"/>
          <w:lang w:val="pl-PL"/>
        </w:rPr>
        <w:t xml:space="preserve">1). 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  <w:r w:rsidR="00FB5801"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Wyrok SN z d</w:t>
      </w:r>
      <w:r w:rsidR="00FB5801"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nia 8 lutego 2011 r., </w:t>
      </w:r>
      <w:r w:rsidR="00FB5801"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III KK 1/11:</w:t>
      </w:r>
    </w:p>
    <w:p w:rsidR="00FB5801" w:rsidRPr="00DC58BA" w:rsidRDefault="00FB5801" w:rsidP="00FB58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:rsidR="00FB5801" w:rsidRPr="00DC58BA" w:rsidRDefault="00FB5801" w:rsidP="00FB5801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Termin przedawnienia, który ekspirował, nie może </w:t>
      </w:r>
      <w:r w:rsidRPr="00DC58BA">
        <w:rPr>
          <w:rFonts w:ascii="Arial" w:eastAsia="Times New Roman" w:hAnsi="Arial" w:cs="Arial"/>
          <w:i/>
          <w:iCs/>
          <w:color w:val="000000"/>
          <w:sz w:val="24"/>
          <w:szCs w:val="24"/>
          <w:lang w:val="pl-PL" w:eastAsia="en-GB"/>
        </w:rPr>
        <w:t>"odżyć"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, choćby nowe przepisy wyznaczały inne, dłuższe terminy przedawnienia. </w:t>
      </w:r>
    </w:p>
    <w:p w:rsidR="00FB5801" w:rsidRPr="00DC58BA" w:rsidRDefault="00FB5801" w:rsidP="00AE404B">
      <w:pP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:rsidR="00AE404B" w:rsidRPr="00DC58BA" w:rsidRDefault="00FB5801" w:rsidP="00AE404B">
      <w:pPr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2). </w:t>
      </w:r>
      <w:r w:rsidR="00AE404B"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Uchwała SN z</w:t>
      </w:r>
      <w:r w:rsidR="00AE404B"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dnia 20 września 2018 r., </w:t>
      </w:r>
      <w:r w:rsidR="00AE404B"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I KZP 7/18:</w:t>
      </w:r>
    </w:p>
    <w:p w:rsidR="00AE404B" w:rsidRPr="00DC58BA" w:rsidRDefault="00AE404B" w:rsidP="00AE40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:rsidR="00AE404B" w:rsidRPr="00DC58BA" w:rsidRDefault="00AE404B" w:rsidP="00FB5801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W wypadku czynu, wyczerpującego znamiona dwóch albo więcej przepisów ustawy karnej, który stanowi przestępstwo podlegające kumulatywnej kwalifikacji prawnej (art. 11 § 2 k.k.), termin przedawnienia jego karalności wyznaczany jest, na podstawie art. 101 k.k., w oparciu o wysokość kary grożącej za to przestępstwo określonej w myśl art. 11 § 3 k.k. albo inne przesłanki wymienione w przepisach dotyczących terminu </w:t>
      </w:r>
      <w:r w:rsidR="00FB5801"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p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rzedawnienia, a stosuje się go do całego kumulatywnie kwalifikowanego przestępstwa.</w:t>
      </w:r>
    </w:p>
    <w:p w:rsidR="00AE404B" w:rsidRPr="00DC58BA" w:rsidRDefault="00AE404B" w:rsidP="00AE404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FB5801" w:rsidRPr="00DC58BA" w:rsidRDefault="00FB5801" w:rsidP="00AE404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FB5801" w:rsidRPr="00DC58BA" w:rsidRDefault="00FB5801" w:rsidP="00FB58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</w:pPr>
      <w:r w:rsidRPr="00DC58BA">
        <w:rPr>
          <w:rFonts w:ascii="Arial" w:hAnsi="Arial" w:cs="Arial"/>
          <w:sz w:val="24"/>
          <w:szCs w:val="24"/>
          <w:lang w:val="pl-PL"/>
        </w:rPr>
        <w:t xml:space="preserve">3). Post. SN 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z dnia 2 lipca 2002 r., </w:t>
      </w:r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IV KKN 264/99:</w:t>
      </w:r>
    </w:p>
    <w:p w:rsidR="00FB5801" w:rsidRPr="00DC58BA" w:rsidRDefault="00FB5801" w:rsidP="00FB58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:rsidR="00FB5801" w:rsidRPr="00DC58BA" w:rsidRDefault="00FB5801" w:rsidP="00FB5801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Postępowanie należy umorzyć w sytuacji, gdy nastąpiło przedawnienie karalności, ale tylko wtedy, gdy nie ma od razu podstaw do uniewinnienia oskarżonego z braku czynu lub braku znamion czynu jako wykroczenia albo braku winy. Umorzenie z racji przedawnienia wchodzi też zawsze w rachubę, gdyby kwestie istnienia czynu, jego znamion i odpowiedzialności wymagały dalszego dowodzenia, gdyż postępowaniu w tej materii stoi już na przeszkodzie przedawnienie karalności.</w:t>
      </w:r>
    </w:p>
    <w:p w:rsidR="00FB5801" w:rsidRPr="00DC58BA" w:rsidRDefault="00FB5801" w:rsidP="0017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:rsidR="00171380" w:rsidRPr="00DC58BA" w:rsidRDefault="00171380" w:rsidP="0017138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4. wyr. SN z dnia 7 sierpnia 2018 r., </w:t>
      </w:r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IV KK 456/18:</w:t>
      </w:r>
    </w:p>
    <w:p w:rsidR="00171380" w:rsidRPr="00DC58BA" w:rsidRDefault="00171380" w:rsidP="0017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:rsidR="00171380" w:rsidRPr="00DC58BA" w:rsidRDefault="00171380" w:rsidP="0017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 punktu widzenia okresów przedawnienia karalności decydujące znaczenie ma czyn przypisany w wyroku, a nie czyn zarzucany w akcie oskarżenia.</w:t>
      </w:r>
    </w:p>
    <w:p w:rsidR="00171380" w:rsidRPr="00DC58BA" w:rsidRDefault="00171380" w:rsidP="0017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:rsidR="00171380" w:rsidRPr="00DC58BA" w:rsidRDefault="00171380" w:rsidP="00FB5801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:rsidR="00FB5801" w:rsidRPr="00DC58BA" w:rsidRDefault="00FB5801" w:rsidP="00FB58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pl-PL" w:eastAsia="en-GB"/>
        </w:rPr>
      </w:pPr>
      <w:r w:rsidRPr="00DC58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pl-PL" w:eastAsia="en-GB"/>
        </w:rPr>
        <w:t>Przesłanka z art. 17 § 1 pkt 7 k.p.k.:</w:t>
      </w:r>
    </w:p>
    <w:p w:rsidR="00FB5801" w:rsidRPr="00DC58BA" w:rsidRDefault="00FB5801" w:rsidP="00FB58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:rsidR="00FB5801" w:rsidRPr="00DC58BA" w:rsidRDefault="00FB5801" w:rsidP="00AE404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AE404B" w:rsidRPr="00DC58BA" w:rsidRDefault="00FB5801" w:rsidP="00FB58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</w:pPr>
      <w:r w:rsidRPr="00DC58BA">
        <w:rPr>
          <w:rFonts w:ascii="Arial" w:hAnsi="Arial" w:cs="Arial"/>
          <w:sz w:val="24"/>
          <w:szCs w:val="24"/>
          <w:lang w:val="pl-PL"/>
        </w:rPr>
        <w:t>1). W</w:t>
      </w:r>
      <w:r w:rsidR="00AE404B"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yrok</w:t>
      </w:r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 xml:space="preserve"> SN z</w:t>
      </w:r>
      <w:r w:rsidR="00AE404B"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dnia 13 lutego 2019 r.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, </w:t>
      </w:r>
      <w:r w:rsidR="00AE404B"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V KK 22/18</w:t>
      </w:r>
    </w:p>
    <w:p w:rsidR="00AE404B" w:rsidRPr="00DC58BA" w:rsidRDefault="00AE404B" w:rsidP="00AE40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:rsidR="00AE404B" w:rsidRPr="00DC58BA" w:rsidRDefault="00AE404B" w:rsidP="00AE404B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 wypadku stwierdzenia rzeczy osądzonej tzw. orzeczeniem następczym po uchyleniu wyroku niekoniecznie musi być umorzenie postępowania (jak zdawałoby się to wynikać z treści art. 17 § 1 pkt 7 k.p.k.), ale także i ponowne rozpoznanie sprawy, w toku którego zostanie określony taki zakres czynu przypisanego, który nie będzie obejmował elementów zachowania, które już wcześniej zostały prawomocnie osądzone.</w:t>
      </w:r>
    </w:p>
    <w:p w:rsidR="00FB5801" w:rsidRPr="00DC58BA" w:rsidRDefault="00FB5801" w:rsidP="00AE404B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:rsidR="00FB5801" w:rsidRPr="00DC58BA" w:rsidRDefault="00FB5801" w:rsidP="00FB580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lastRenderedPageBreak/>
        <w:t xml:space="preserve">2). Wyrok SN z dnia 16 kwietnia 2019 r., </w:t>
      </w:r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IV KO 119/18:</w:t>
      </w:r>
    </w:p>
    <w:p w:rsidR="00FB5801" w:rsidRPr="00DC58BA" w:rsidRDefault="00FB5801" w:rsidP="00FB58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:rsidR="00FB5801" w:rsidRPr="00DC58BA" w:rsidRDefault="00FB5801" w:rsidP="00FB5801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Zgodnie</w:t>
      </w:r>
      <w:r w:rsidR="00171380"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treścią art. 12 § 1 k.k.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, dwa lub więcej </w:t>
      </w:r>
      <w:proofErr w:type="spellStart"/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zachowań</w:t>
      </w:r>
      <w:proofErr w:type="spellEnd"/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, podjętych w krótkich odstępach czasu w wykonaniu z góry powziętego zamiaru, uważa się za jeden czyn zabroniony, jeżeli przedmiotem zamachu jest dobro osobiste, warunkiem uznania wielości </w:t>
      </w:r>
      <w:proofErr w:type="spellStart"/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zachowań</w:t>
      </w:r>
      <w:proofErr w:type="spellEnd"/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za jeden czyn zabroniony jest tożsamość pokrzywdzonego. U podstaw tej regulacji leży założenie, że czyn ciągły, choć składa się z wielu </w:t>
      </w:r>
      <w:proofErr w:type="spellStart"/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zachowań</w:t>
      </w:r>
      <w:proofErr w:type="spellEnd"/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(elementów), to stanowi jeden czyn zabroniony i jedno przestępstwo. To zaś z kolej rodzi istotne konsekwencje w sferze procesowej, albowiem prawomocne skazanie za czyn ciągły stoi na przeszkodzie, ze względu na treść art. 17 § 1 pkt 7 k.p.k., ponownemu postępowaniu o później ujawnione zachowania, będące elementami tego czynu, które nie były przedmiotem wcześniejszego osądzenia, niezależnie od tego, jak ma się społeczna szkodliwość nowo ujawnionych fragmentów czynu ciągłego do społecznej szkodliwości </w:t>
      </w:r>
      <w:proofErr w:type="spellStart"/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zachowań</w:t>
      </w:r>
      <w:proofErr w:type="spellEnd"/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uprzednio w ramach tego czynu osądzonych.</w:t>
      </w:r>
    </w:p>
    <w:p w:rsidR="00171380" w:rsidRPr="00DC58BA" w:rsidRDefault="00171380" w:rsidP="00FB5801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:rsidR="00171380" w:rsidRPr="00DC58BA" w:rsidRDefault="00171380" w:rsidP="00FB5801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:rsidR="00171380" w:rsidRPr="00DC58BA" w:rsidRDefault="00171380" w:rsidP="0017138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3). wyr. SN z dnia 19 lipca 2018 r., </w:t>
      </w:r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IV KK 368/17:</w:t>
      </w:r>
    </w:p>
    <w:p w:rsidR="00171380" w:rsidRPr="00DC58BA" w:rsidRDefault="00171380" w:rsidP="0017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:rsidR="00171380" w:rsidRPr="00DC58BA" w:rsidRDefault="00171380" w:rsidP="00171380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Rozpoznanie apelacji wniesionej po terminie powoduje, że wyrok sądu odwoławczego dotknięty jest uchybieniem stanowiącym bezwzględną przyczynę odwoławczą z art. 439 § 1 pkt 8 k.p.k.</w:t>
      </w:r>
    </w:p>
    <w:p w:rsidR="00171380" w:rsidRPr="00DC58BA" w:rsidRDefault="00171380" w:rsidP="0017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ab/>
        <w:t>Bezwzględna przyczyna odwoławcza, o której mowa w art. 439 § 1 pkt 8 k.p.k. zachodzi w sytuacji, gdy w innym lub kontynuowanym postępowaniu prawomocnym orzeczeniem rozstrzygnięta została kwestia odpowiedzialności karnej.</w:t>
      </w:r>
    </w:p>
    <w:p w:rsidR="00171380" w:rsidRPr="00DC58BA" w:rsidRDefault="00171380" w:rsidP="0017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ab/>
        <w:t>W przypadku wystąpienia bezwzględnej przyczyny odwoławczej, o której mowa w art. 439 § 1 pkt 8 k.p.k., brak jest podstaw prawnych jedynie do umorzenia postępowania odwoławczego przez Sąd Najwyższy, tak jak nie ma ich Sąd odwoławczy. Przepis art. 17 § 1 k.p.k. nakazuje, w razie zrealizowania się ujętych w nim przesłanek, umorzyć "postępowanie karne", a więc całe postępowanie, a nie jego określone stadium.</w:t>
      </w:r>
    </w:p>
    <w:p w:rsidR="00171380" w:rsidRPr="00DC58BA" w:rsidRDefault="00171380">
      <w:pPr>
        <w:rPr>
          <w:rFonts w:ascii="Arial" w:hAnsi="Arial" w:cs="Arial"/>
          <w:sz w:val="24"/>
          <w:szCs w:val="24"/>
          <w:lang w:val="pl-PL"/>
        </w:rPr>
      </w:pPr>
    </w:p>
    <w:p w:rsidR="00C53CD4" w:rsidRPr="00DC58BA" w:rsidRDefault="00C53CD4" w:rsidP="00C53CD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DC58BA">
        <w:rPr>
          <w:rFonts w:ascii="Arial" w:hAnsi="Arial" w:cs="Arial"/>
          <w:b/>
          <w:sz w:val="24"/>
          <w:szCs w:val="24"/>
          <w:u w:val="single"/>
          <w:lang w:val="pl-PL"/>
        </w:rPr>
        <w:t>Przesłanka z art. 17 § 1 pkt 8 k.p.k.:</w:t>
      </w:r>
    </w:p>
    <w:p w:rsidR="00C53CD4" w:rsidRPr="00DC58BA" w:rsidRDefault="00C53CD4" w:rsidP="00C53CD4">
      <w:pPr>
        <w:pStyle w:val="Akapitzlist"/>
        <w:ind w:left="1080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C53CD4" w:rsidRPr="00DC58BA" w:rsidRDefault="00C53CD4" w:rsidP="00C53CD4">
      <w:pPr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</w:pPr>
      <w:r w:rsidRPr="00DC58BA">
        <w:rPr>
          <w:rFonts w:ascii="Arial" w:hAnsi="Arial" w:cs="Arial"/>
          <w:sz w:val="24"/>
          <w:szCs w:val="24"/>
          <w:lang w:val="pl-PL"/>
        </w:rPr>
        <w:t>1). P</w:t>
      </w:r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 xml:space="preserve">ostanowienie SN 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z dnia 17 kwietnia 2018 r., </w:t>
      </w:r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IV KK 107/18:</w:t>
      </w:r>
    </w:p>
    <w:p w:rsidR="00C53CD4" w:rsidRPr="00DC58BA" w:rsidRDefault="00C53CD4" w:rsidP="00C53C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Niepodleganie sprawcy orzecznictwu polskich sądów to procesowa przeszkoda związana z kwestią jurysdykcji sądów i tzw. immunitetów materialnych. Niepodleganie sprawcy orzecznictwu polskich sądów karnych może wynikać zarówno z przymiotów samego sprawcy, jak i faktu, że dopuścił się czynu co do którego orzekanie nie następuje przed sądami karnymi.</w:t>
      </w:r>
    </w:p>
    <w:p w:rsidR="00C53CD4" w:rsidRPr="00DC58BA" w:rsidRDefault="00C53CD4" w:rsidP="00C53CD4">
      <w:pPr>
        <w:rPr>
          <w:rFonts w:ascii="Arial" w:hAnsi="Arial" w:cs="Arial"/>
          <w:sz w:val="24"/>
          <w:szCs w:val="24"/>
          <w:lang w:val="pl-PL"/>
        </w:rPr>
      </w:pPr>
    </w:p>
    <w:p w:rsidR="00171380" w:rsidRPr="00DC58BA" w:rsidRDefault="00C53CD4" w:rsidP="00C53CD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DC58BA">
        <w:rPr>
          <w:rFonts w:ascii="Arial" w:hAnsi="Arial" w:cs="Arial"/>
          <w:b/>
          <w:sz w:val="24"/>
          <w:szCs w:val="24"/>
          <w:u w:val="single"/>
          <w:lang w:val="pl-PL"/>
        </w:rPr>
        <w:t>Przesłanka z art. 17 § 1 pkt 9 k.p.k.:</w:t>
      </w:r>
    </w:p>
    <w:p w:rsidR="00C53CD4" w:rsidRPr="00DC58BA" w:rsidRDefault="00C53CD4" w:rsidP="00C53C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 xml:space="preserve">1). Wyrok SA 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w Poznaniu z dnia 27 lutego 2019 r., </w:t>
      </w:r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 xml:space="preserve">II </w:t>
      </w:r>
      <w:proofErr w:type="spellStart"/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>AKa</w:t>
      </w:r>
      <w:proofErr w:type="spellEnd"/>
      <w:r w:rsidRPr="00DC58BA">
        <w:rPr>
          <w:rFonts w:ascii="Arial" w:eastAsia="Times New Roman" w:hAnsi="Arial" w:cs="Arial"/>
          <w:bCs/>
          <w:color w:val="000000"/>
          <w:sz w:val="24"/>
          <w:szCs w:val="24"/>
          <w:lang w:val="pl-PL" w:eastAsia="en-GB"/>
        </w:rPr>
        <w:t xml:space="preserve"> 6/19:</w:t>
      </w:r>
    </w:p>
    <w:p w:rsidR="00C53CD4" w:rsidRPr="00DC58BA" w:rsidRDefault="00C53CD4" w:rsidP="00C53CD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:rsidR="00C53CD4" w:rsidRPr="00DC58BA" w:rsidRDefault="00C53CD4" w:rsidP="00C53C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Po prawomocnym umorzeniu postępowania przygotowawczego prokurator - bez zastosowania instytucji przewidzianych w art. 327 § 1 i 2 k.p.k. oraz art. 328 k.p.k. - nie dysponuje prawem do skargi publicznej i nie może go odzyskać w sposób dorozumiany w drodze kontynuowania czynności procesowych w ramach 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lastRenderedPageBreak/>
        <w:t>dotychczasowego postępowania lub ich przeprowadzenia w innym postępowaniu. W sytuacji, gdy brak jest decyzji procesowej stosownej do stadium, w którym wcześniej umorzono postępowanie, a przewidzianej w ww. przepisach, wniesiony przez prokuratora akt oskarżenia trzeba traktować jako pochodzący od osoby, która skutecznie wyzbyła się swego uprawnienia. Prawo do skargi, z której oskarżyciel przecież zrezygnował, nie zostało bowiem odzyskane w sposób przewidziany przez procedurę.</w:t>
      </w:r>
    </w:p>
    <w:p w:rsidR="00DC58BA" w:rsidRPr="00DC58BA" w:rsidRDefault="00DC58BA" w:rsidP="00C53C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:rsidR="00DC58BA" w:rsidRPr="00DC58BA" w:rsidRDefault="00DC58BA" w:rsidP="00DC5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2). Wyrok SN z 29 stycznia 2019 r., IV KK 1/19:</w:t>
      </w:r>
    </w:p>
    <w:p w:rsidR="00DC58BA" w:rsidRPr="00DC58BA" w:rsidRDefault="00DC58BA" w:rsidP="00DC5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:rsidR="00DC58BA" w:rsidRPr="00DC58BA" w:rsidRDefault="00DC58BA" w:rsidP="00DC58BA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Brak wniosku o ściganie sprawia, że w przypadku popełnienia przez oskarżonego przestępstwa wyczerpującego znamiona zarówno przestępstwa ściganego z urzędu, jak i przestępstwa ściganego na wniosek, niedopuszczalne jest zamieszczenie w opisie przypisanego oskarżonemu czynu oraz w jego kwalifikacji prawnej jakichkolwiek elementów, wskazujących na popełnienie przestępstwa, do którego ścigania potrzebne było pozyskanie owego wniosku.</w:t>
      </w:r>
    </w:p>
    <w:p w:rsidR="00DC58BA" w:rsidRPr="00DC58BA" w:rsidRDefault="00DC58BA" w:rsidP="00DC58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C58BA" w:rsidRPr="00DC58BA" w:rsidRDefault="00DC58BA" w:rsidP="00DC58BA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Przestępstwo oszustwa, zgodnie z treścią art. 286 § 4 k.k., ma charakter względnie wnioskowy. Oznacza to, że jeśli zostało popełnione na szkodę osoby najbliższej podlega ściganiu wyłącznie wtedy, gdy osoba pokrzywdzona tego zażąda składając w tej kwestii stosowny wniosek.</w:t>
      </w:r>
    </w:p>
    <w:p w:rsidR="00171380" w:rsidRPr="00DC58BA" w:rsidRDefault="00171380" w:rsidP="00C53CD4">
      <w:pPr>
        <w:rPr>
          <w:rFonts w:ascii="Arial" w:hAnsi="Arial" w:cs="Arial"/>
          <w:sz w:val="24"/>
          <w:szCs w:val="24"/>
          <w:lang w:val="pl-PL"/>
        </w:rPr>
      </w:pPr>
    </w:p>
    <w:p w:rsidR="00DC58BA" w:rsidRPr="00DC58BA" w:rsidRDefault="00DC58BA" w:rsidP="00C53CD4">
      <w:pPr>
        <w:rPr>
          <w:rFonts w:ascii="Arial" w:hAnsi="Arial" w:cs="Arial"/>
          <w:sz w:val="24"/>
          <w:szCs w:val="24"/>
          <w:lang w:val="pl-PL"/>
        </w:rPr>
      </w:pPr>
      <w:r w:rsidRPr="00DC58BA">
        <w:rPr>
          <w:rFonts w:ascii="Arial" w:hAnsi="Arial" w:cs="Arial"/>
          <w:sz w:val="24"/>
          <w:szCs w:val="24"/>
          <w:lang w:val="pl-PL"/>
        </w:rPr>
        <w:t>3). Wyrok SN z 24 stycznia 2019 r., II KK 6/19:</w:t>
      </w:r>
    </w:p>
    <w:p w:rsidR="00DC58BA" w:rsidRPr="00DC58BA" w:rsidRDefault="00DC58BA" w:rsidP="00DC58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:rsidR="00DC58BA" w:rsidRPr="00DC58BA" w:rsidRDefault="00DC58BA" w:rsidP="00DC58BA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Ustawa karnoprocesowa nie określa formy, w jakiej pokrzywdzony ma wyrazić wolę ścigania, to jest złożyć wniosek, o którym mowa w art. 12 § 1 k.p.k.</w:t>
      </w:r>
    </w:p>
    <w:p w:rsidR="00DC58BA" w:rsidRPr="00DC58BA" w:rsidRDefault="00DC58BA" w:rsidP="00DC58BA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Wola ta może być zatem wyrażona zarówno na piśmie, jak i w trakcie składania zeznań w charakterze świadka. Istotne jest, aby z takiego dokumentu procesowego w sposób wyraźny wynikało żądanie pokrzywdzonego ścigania sprawcy (...). Podkreślenia wymaga, że samo złożenie zawiadomienia o przestępstwie nie stanowi złożenia wniosku; wola ścigania musi bowiem zostać wyrażona wyraźnie. Osoba uprawniona powinna zostać pouczona (art. 16 § 1 k.p.k.) o prawie złożenia wniosku, konsekwencjach jego złożenia określonych w art. 12 § 2 k.p.k. oraz o możliwości cofnięcia wniosku lub braku możliwości jego cofnięcia (art. 12 § 3 k.p.k.), tak, by u podstaw złożenia wniosku o ściganie legła swobodnie podjęta decyzja (...). Jak każdy czyn przestępny, także przestępstwo wnioskowe może być ścigane do czasu przedawnienia jego karalności.</w:t>
      </w:r>
    </w:p>
    <w:p w:rsidR="00DC58BA" w:rsidRPr="00DC58BA" w:rsidRDefault="00DC58BA" w:rsidP="00DC58BA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Również w doktrynie przyjmuje się, że sam fakt, iż wniosek nie został złożony do rozpoczęcia przewodu sądowego, nie zwalnia sądu z obowiązku ustalenia woli pokrzywdzonego co do ścigania karnego. W art. 12 § 1 k.p.k. nie zastrzeżono kompetencji wyłącznie dla oskarżyciela do możliwości uzyskania wniosku o ściganie od uprawnionej osoby. Jeżeli wniosek taki nie został złożony do rozpoczęcia przewodu sądowego lub oko</w:t>
      </w:r>
      <w:bookmarkStart w:id="0" w:name="_GoBack"/>
      <w:bookmarkEnd w:id="0"/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liczności sprawy wskazujące na możliwość prowadzenia postępowania o przestępstwo "wnioskowe" ujawnione zostały w trakcie postępowania, sąd jest zobligowany ustalić w tym zakresie wolę uprawnionego. Jedynym więc czasowym ograniczeniem pozostaje wymóg złożenia wniosku o ściganie do czasu przedawnienia ścigania danego przestępstwa.</w:t>
      </w:r>
    </w:p>
    <w:p w:rsidR="00171380" w:rsidRPr="00DC58BA" w:rsidRDefault="00171380" w:rsidP="00C53CD4">
      <w:pPr>
        <w:rPr>
          <w:rFonts w:ascii="Arial" w:hAnsi="Arial" w:cs="Arial"/>
          <w:sz w:val="24"/>
          <w:szCs w:val="24"/>
          <w:lang w:val="pl-PL"/>
        </w:rPr>
      </w:pPr>
    </w:p>
    <w:p w:rsidR="00171380" w:rsidRPr="00DC58BA" w:rsidRDefault="00171380">
      <w:pPr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DC58BA">
        <w:rPr>
          <w:rFonts w:ascii="Arial" w:hAnsi="Arial" w:cs="Arial"/>
          <w:b/>
          <w:sz w:val="24"/>
          <w:szCs w:val="24"/>
          <w:u w:val="single"/>
          <w:lang w:val="pl-PL"/>
        </w:rPr>
        <w:lastRenderedPageBreak/>
        <w:t>Konkurencja przesłanek procesowych:</w:t>
      </w:r>
    </w:p>
    <w:p w:rsidR="00171380" w:rsidRPr="00DC58BA" w:rsidRDefault="00171380" w:rsidP="00C53C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>Wyrok</w:t>
      </w:r>
      <w:r w:rsidR="00C53CD4" w:rsidRPr="00DC58BA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 xml:space="preserve"> SA w 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Katowicach</w:t>
      </w:r>
      <w:r w:rsidR="00C53CD4"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 dnia 26 kwietnia 2018 r.</w:t>
      </w:r>
      <w:r w:rsidR="00C53CD4"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, </w:t>
      </w:r>
      <w:r w:rsidRPr="00DC58BA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 xml:space="preserve">II </w:t>
      </w:r>
      <w:proofErr w:type="spellStart"/>
      <w:r w:rsidRPr="00DC58BA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>AKa</w:t>
      </w:r>
      <w:proofErr w:type="spellEnd"/>
      <w:r w:rsidRPr="00DC58BA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 xml:space="preserve"> 54/18</w:t>
      </w:r>
    </w:p>
    <w:p w:rsidR="00171380" w:rsidRPr="00DC58BA" w:rsidRDefault="00171380" w:rsidP="0017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:rsidR="00171380" w:rsidRPr="00DC58BA" w:rsidRDefault="00171380" w:rsidP="00171380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C58B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Poglądy doktryny co do dopuszczalności prowadzenia postępowania w wypadku konkurencji dwóch negatywnych przesłanek procesowych z art. 17 § 1 pkt 1 lub 2 i pkt 6 k.p.k. są jednolite: już wszczęte postępowanie należy umorzyć. Jednolitość ta nie dotyczy jednak sytuacji, w której istnienie przedawnienia sąd stwierdził dopiero po przeprowadzeniu całego postępowania dowodowego, stając wówczas przed dylematem wydania wyroku uniewinniającego albo umarzającego postępowanie. Negatywne przesłanki z art. 17 § 1 pkt 1 i 2 oraz pkt 6 k.p.k., określone są mianem przesłanek procesowych o charakterze materialnym. Stąd też, mimo zaistnienia ujemnej przesłanki procesowej w postaci przedawnienia karalności czynu, którego popełnienie prokurator zarzucił oskarżonemu, sąd odwoławczy dał pierwszeństwo przesłance materialnej wskazanej przez ustawodawcę w treści art. 17 § 1 pkt 1 k.p.k.</w:t>
      </w:r>
    </w:p>
    <w:p w:rsidR="00171380" w:rsidRPr="00171380" w:rsidRDefault="00171380">
      <w:pPr>
        <w:rPr>
          <w:rFonts w:ascii="Arial" w:hAnsi="Arial" w:cs="Arial"/>
          <w:sz w:val="24"/>
          <w:szCs w:val="24"/>
          <w:lang w:val="pl-PL"/>
        </w:rPr>
      </w:pPr>
    </w:p>
    <w:sectPr w:rsidR="00171380" w:rsidRPr="001713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BA" w:rsidRDefault="00DC58BA" w:rsidP="00DC58BA">
      <w:pPr>
        <w:spacing w:after="0" w:line="240" w:lineRule="auto"/>
      </w:pPr>
      <w:r>
        <w:separator/>
      </w:r>
    </w:p>
  </w:endnote>
  <w:endnote w:type="continuationSeparator" w:id="0">
    <w:p w:rsidR="00DC58BA" w:rsidRDefault="00DC58BA" w:rsidP="00DC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201697"/>
      <w:docPartObj>
        <w:docPartGallery w:val="Page Numbers (Bottom of Page)"/>
        <w:docPartUnique/>
      </w:docPartObj>
    </w:sdtPr>
    <w:sdtContent>
      <w:p w:rsidR="00DC58BA" w:rsidRDefault="00DC58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58BA">
          <w:rPr>
            <w:noProof/>
            <w:lang w:val="pl-PL"/>
          </w:rPr>
          <w:t>4</w:t>
        </w:r>
        <w:r>
          <w:fldChar w:fldCharType="end"/>
        </w:r>
      </w:p>
    </w:sdtContent>
  </w:sdt>
  <w:p w:rsidR="00DC58BA" w:rsidRDefault="00DC5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BA" w:rsidRDefault="00DC58BA" w:rsidP="00DC58BA">
      <w:pPr>
        <w:spacing w:after="0" w:line="240" w:lineRule="auto"/>
      </w:pPr>
      <w:r>
        <w:separator/>
      </w:r>
    </w:p>
  </w:footnote>
  <w:footnote w:type="continuationSeparator" w:id="0">
    <w:p w:rsidR="00DC58BA" w:rsidRDefault="00DC58BA" w:rsidP="00DC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138C"/>
    <w:multiLevelType w:val="hybridMultilevel"/>
    <w:tmpl w:val="7434609A"/>
    <w:lvl w:ilvl="0" w:tplc="7D26C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B"/>
    <w:rsid w:val="0001477A"/>
    <w:rsid w:val="00014B7F"/>
    <w:rsid w:val="00021851"/>
    <w:rsid w:val="0002686B"/>
    <w:rsid w:val="0004557C"/>
    <w:rsid w:val="000549A7"/>
    <w:rsid w:val="00077C74"/>
    <w:rsid w:val="0009612A"/>
    <w:rsid w:val="000C1577"/>
    <w:rsid w:val="000C2976"/>
    <w:rsid w:val="000C5192"/>
    <w:rsid w:val="000C7C1A"/>
    <w:rsid w:val="000E068C"/>
    <w:rsid w:val="000E46DC"/>
    <w:rsid w:val="000F5C42"/>
    <w:rsid w:val="00103B03"/>
    <w:rsid w:val="0013318C"/>
    <w:rsid w:val="00157903"/>
    <w:rsid w:val="00171232"/>
    <w:rsid w:val="00171380"/>
    <w:rsid w:val="00176522"/>
    <w:rsid w:val="0017690F"/>
    <w:rsid w:val="00183181"/>
    <w:rsid w:val="001961A3"/>
    <w:rsid w:val="001B1932"/>
    <w:rsid w:val="001B1FC6"/>
    <w:rsid w:val="001B6E38"/>
    <w:rsid w:val="001E75C2"/>
    <w:rsid w:val="002347DC"/>
    <w:rsid w:val="00247B28"/>
    <w:rsid w:val="00265E0E"/>
    <w:rsid w:val="0027331B"/>
    <w:rsid w:val="00292B6B"/>
    <w:rsid w:val="002C791B"/>
    <w:rsid w:val="002C7EFC"/>
    <w:rsid w:val="002F1267"/>
    <w:rsid w:val="002F7DF3"/>
    <w:rsid w:val="00314D55"/>
    <w:rsid w:val="00351804"/>
    <w:rsid w:val="003607EC"/>
    <w:rsid w:val="003669DA"/>
    <w:rsid w:val="00371FA8"/>
    <w:rsid w:val="003A541E"/>
    <w:rsid w:val="003B203F"/>
    <w:rsid w:val="003B3306"/>
    <w:rsid w:val="003C4B2C"/>
    <w:rsid w:val="003D6532"/>
    <w:rsid w:val="003E2871"/>
    <w:rsid w:val="004104E3"/>
    <w:rsid w:val="00414B3B"/>
    <w:rsid w:val="00437D17"/>
    <w:rsid w:val="00467627"/>
    <w:rsid w:val="00484E23"/>
    <w:rsid w:val="004D1F91"/>
    <w:rsid w:val="004D41A8"/>
    <w:rsid w:val="0052560F"/>
    <w:rsid w:val="00536868"/>
    <w:rsid w:val="00590A36"/>
    <w:rsid w:val="00597F4B"/>
    <w:rsid w:val="005B4F7A"/>
    <w:rsid w:val="005D4D9B"/>
    <w:rsid w:val="005D61E0"/>
    <w:rsid w:val="005E06B9"/>
    <w:rsid w:val="005F2DA0"/>
    <w:rsid w:val="006065F0"/>
    <w:rsid w:val="00611CD4"/>
    <w:rsid w:val="0062086B"/>
    <w:rsid w:val="00656CC0"/>
    <w:rsid w:val="00662473"/>
    <w:rsid w:val="006663C3"/>
    <w:rsid w:val="0068210F"/>
    <w:rsid w:val="00687EAC"/>
    <w:rsid w:val="006C16FB"/>
    <w:rsid w:val="006C5816"/>
    <w:rsid w:val="0072188C"/>
    <w:rsid w:val="00763CE6"/>
    <w:rsid w:val="007660C7"/>
    <w:rsid w:val="00766CF1"/>
    <w:rsid w:val="00777825"/>
    <w:rsid w:val="00777A10"/>
    <w:rsid w:val="007942E3"/>
    <w:rsid w:val="00797AC7"/>
    <w:rsid w:val="007A631E"/>
    <w:rsid w:val="007B4DAE"/>
    <w:rsid w:val="007C3159"/>
    <w:rsid w:val="007D6E68"/>
    <w:rsid w:val="007D711F"/>
    <w:rsid w:val="007D7D5F"/>
    <w:rsid w:val="007E2D78"/>
    <w:rsid w:val="00832915"/>
    <w:rsid w:val="008403D1"/>
    <w:rsid w:val="00842D82"/>
    <w:rsid w:val="00863CDC"/>
    <w:rsid w:val="00880AA4"/>
    <w:rsid w:val="00895D13"/>
    <w:rsid w:val="008A412E"/>
    <w:rsid w:val="008C1739"/>
    <w:rsid w:val="008C574C"/>
    <w:rsid w:val="008D2A44"/>
    <w:rsid w:val="008E4150"/>
    <w:rsid w:val="008E50D9"/>
    <w:rsid w:val="008F02BA"/>
    <w:rsid w:val="008F3B9C"/>
    <w:rsid w:val="00915764"/>
    <w:rsid w:val="00925710"/>
    <w:rsid w:val="009676A3"/>
    <w:rsid w:val="009704A7"/>
    <w:rsid w:val="00974ECE"/>
    <w:rsid w:val="0097699C"/>
    <w:rsid w:val="00995AC7"/>
    <w:rsid w:val="009D6F0E"/>
    <w:rsid w:val="009E60E0"/>
    <w:rsid w:val="00A14CA5"/>
    <w:rsid w:val="00A25A30"/>
    <w:rsid w:val="00A449E3"/>
    <w:rsid w:val="00A50327"/>
    <w:rsid w:val="00A5157C"/>
    <w:rsid w:val="00AC6BAC"/>
    <w:rsid w:val="00AD6B00"/>
    <w:rsid w:val="00AE404B"/>
    <w:rsid w:val="00B172E9"/>
    <w:rsid w:val="00B33D35"/>
    <w:rsid w:val="00B509D2"/>
    <w:rsid w:val="00B76A42"/>
    <w:rsid w:val="00B77BCB"/>
    <w:rsid w:val="00BA0BB0"/>
    <w:rsid w:val="00BA309A"/>
    <w:rsid w:val="00BA5ACA"/>
    <w:rsid w:val="00BC342F"/>
    <w:rsid w:val="00C107CE"/>
    <w:rsid w:val="00C21254"/>
    <w:rsid w:val="00C23E99"/>
    <w:rsid w:val="00C30000"/>
    <w:rsid w:val="00C33B85"/>
    <w:rsid w:val="00C477FA"/>
    <w:rsid w:val="00C47E62"/>
    <w:rsid w:val="00C53CD4"/>
    <w:rsid w:val="00C665EF"/>
    <w:rsid w:val="00C7190B"/>
    <w:rsid w:val="00C87BA0"/>
    <w:rsid w:val="00C95E7F"/>
    <w:rsid w:val="00CC033F"/>
    <w:rsid w:val="00CC2E3C"/>
    <w:rsid w:val="00CD733E"/>
    <w:rsid w:val="00CE145A"/>
    <w:rsid w:val="00D001C3"/>
    <w:rsid w:val="00D06916"/>
    <w:rsid w:val="00D2261D"/>
    <w:rsid w:val="00D40F33"/>
    <w:rsid w:val="00D506C0"/>
    <w:rsid w:val="00D61756"/>
    <w:rsid w:val="00D62EEB"/>
    <w:rsid w:val="00D966B7"/>
    <w:rsid w:val="00D96F85"/>
    <w:rsid w:val="00DC58BA"/>
    <w:rsid w:val="00DF1F73"/>
    <w:rsid w:val="00E01D73"/>
    <w:rsid w:val="00E11AD0"/>
    <w:rsid w:val="00E20DCB"/>
    <w:rsid w:val="00E409A1"/>
    <w:rsid w:val="00E46EF2"/>
    <w:rsid w:val="00E72D26"/>
    <w:rsid w:val="00E922E4"/>
    <w:rsid w:val="00E94620"/>
    <w:rsid w:val="00EA46CD"/>
    <w:rsid w:val="00EB30E5"/>
    <w:rsid w:val="00ED1BBD"/>
    <w:rsid w:val="00ED5D19"/>
    <w:rsid w:val="00F032D3"/>
    <w:rsid w:val="00F1751B"/>
    <w:rsid w:val="00F30165"/>
    <w:rsid w:val="00F503D3"/>
    <w:rsid w:val="00F840F8"/>
    <w:rsid w:val="00F92BA4"/>
    <w:rsid w:val="00FB5801"/>
    <w:rsid w:val="00FD1E18"/>
    <w:rsid w:val="00FF0E2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8A94B-8276-4D63-8BCC-F70CDD8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0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BA"/>
  </w:style>
  <w:style w:type="paragraph" w:styleId="Stopka">
    <w:name w:val="footer"/>
    <w:basedOn w:val="Normalny"/>
    <w:link w:val="StopkaZnak"/>
    <w:uiPriority w:val="99"/>
    <w:unhideWhenUsed/>
    <w:rsid w:val="00DC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5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5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09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0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8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49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19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0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52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1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5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Wąsek - Wiaderek</dc:creator>
  <cp:keywords/>
  <dc:description/>
  <cp:lastModifiedBy>Małgorzata Wąsek - Wiaderek</cp:lastModifiedBy>
  <cp:revision>1</cp:revision>
  <dcterms:created xsi:type="dcterms:W3CDTF">2020-03-15T16:20:00Z</dcterms:created>
  <dcterms:modified xsi:type="dcterms:W3CDTF">2020-03-15T17:10:00Z</dcterms:modified>
</cp:coreProperties>
</file>