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87" w:rsidRDefault="002C5E87" w:rsidP="002C5E87">
      <w:pPr>
        <w:jc w:val="both"/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20"/>
        <w:gridCol w:w="435"/>
        <w:gridCol w:w="450"/>
        <w:gridCol w:w="435"/>
        <w:gridCol w:w="435"/>
        <w:gridCol w:w="435"/>
        <w:gridCol w:w="435"/>
        <w:gridCol w:w="450"/>
        <w:gridCol w:w="435"/>
        <w:gridCol w:w="435"/>
        <w:gridCol w:w="435"/>
        <w:gridCol w:w="450"/>
        <w:gridCol w:w="435"/>
        <w:gridCol w:w="435"/>
        <w:gridCol w:w="435"/>
        <w:gridCol w:w="435"/>
        <w:gridCol w:w="450"/>
        <w:gridCol w:w="435"/>
        <w:gridCol w:w="435"/>
        <w:gridCol w:w="435"/>
        <w:gridCol w:w="450"/>
        <w:gridCol w:w="20"/>
      </w:tblGrid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1)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2)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3)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4)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  <w:r>
              <w:t>5)</w:t>
            </w: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6)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70" w:type="dxa"/>
            <w:gridSpan w:val="2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7)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8)</w:t>
            </w: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Pr="005302B8" w:rsidRDefault="002C5E87" w:rsidP="00871FFB">
            <w:pPr>
              <w:pStyle w:val="Zawartotabeli"/>
              <w:snapToGrid w:val="0"/>
              <w:jc w:val="both"/>
              <w:rPr>
                <w:color w:val="FFFFFF" w:themeColor="background1"/>
              </w:rPr>
            </w:pPr>
          </w:p>
        </w:tc>
        <w:tc>
          <w:tcPr>
            <w:tcW w:w="435" w:type="dxa"/>
            <w:tcBorders>
              <w:left w:val="single" w:sz="4" w:space="0" w:color="000000"/>
            </w:tcBorders>
            <w:shd w:val="clear" w:color="auto" w:fill="auto"/>
          </w:tcPr>
          <w:p w:rsidR="002C5E87" w:rsidRPr="005302B8" w:rsidRDefault="002C5E87" w:rsidP="00871FFB">
            <w:pPr>
              <w:pStyle w:val="Zawartotabeli"/>
              <w:snapToGrid w:val="0"/>
              <w:jc w:val="both"/>
              <w:rPr>
                <w:color w:val="FFFFFF" w:themeColor="background1"/>
              </w:rPr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bookmarkStart w:id="0" w:name="_GoBack"/>
            <w:bookmarkEnd w:id="0"/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9)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10)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4" w:space="0" w:color="000000"/>
            </w:tcBorders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11)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12)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  <w:r>
              <w:t>13)</w:t>
            </w: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14)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  <w:tr w:rsidR="002C5E87" w:rsidTr="00871FFB">
        <w:trPr>
          <w:gridAfter w:val="1"/>
          <w:wAfter w:w="20" w:type="dxa"/>
        </w:trPr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  <w:r>
              <w:t>15)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tcBorders>
              <w:left w:val="single" w:sz="4" w:space="0" w:color="000000"/>
            </w:tcBorders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35" w:type="dxa"/>
            <w:shd w:val="clear" w:color="auto" w:fill="auto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</w:tcPr>
          <w:p w:rsidR="002C5E87" w:rsidRDefault="002C5E87" w:rsidP="00871FFB">
            <w:pPr>
              <w:pStyle w:val="Zawartotabeli"/>
              <w:snapToGrid w:val="0"/>
              <w:jc w:val="both"/>
            </w:pPr>
          </w:p>
        </w:tc>
      </w:tr>
    </w:tbl>
    <w:p w:rsidR="002C5E87" w:rsidRDefault="002C5E87" w:rsidP="002C5E87">
      <w:pPr>
        <w:jc w:val="both"/>
      </w:pPr>
    </w:p>
    <w:p w:rsidR="002C5E87" w:rsidRDefault="002C5E87" w:rsidP="002C5E87">
      <w:pPr>
        <w:jc w:val="both"/>
      </w:pPr>
    </w:p>
    <w:p w:rsidR="002C5E87" w:rsidRDefault="002C5E87" w:rsidP="002C5E87">
      <w:pPr>
        <w:numPr>
          <w:ilvl w:val="0"/>
          <w:numId w:val="1"/>
        </w:numPr>
        <w:jc w:val="both"/>
      </w:pPr>
      <w:r>
        <w:t>Cecha charakteryzująca usługę korzystającą z traktatowej swobody.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Bezpośrednia lub pośrednia. Antonim równego traktowania. 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Nazwa formuły definiującej pojęcie środka o skutku równoważnym do ograniczeń ilościowych. 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Przepływ kapitału o charakterze osobistym. 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Porozumienie horyzontalne. Praktyka uznana w Unii Europejskiej za ograniczającą konkurencję. 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Produkt, którego wartość jest wyrażona w pieniądzu i który może, jako taki, stanowić przedmiot transakcji handlowych. 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>... publiczny – jedna z przesłanek derogacyjnych swobodnego przepływu osób.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Rodzaj przedsiębiorczości, w którym możliwe jest prowadzenie działalności gospodarczej na obszarze kilku państw członkowskich m.in. przy pomocy tworzenia filii i oddziałów. 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Dziedzina niepodlegająca swobodzie przepływu usług lecz podlegająca swobodzie przepływu kapitału. 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Jedna ze swobód personalnych. 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Klauzula zakazująca wprowadzania nowych lub zaostrzania obowiązujących już ograniczeń. 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Rodzaj usługi, w którym to usługobiorca z jednego państwa członkowskiego udaje się do innego państwa członkowskiego, w którym znajduje się usługodawca, w celu skorzystania z usługi. 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>Zbiorcze pojęcie określające różne formy i sposoby zachowania kontroli przez władze państw członkowskich Unii nad strategicznymi z punktu widzenia interesu państwa sprywatyzowanymi spółkami państwowymi.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Podstawowe kryterium, które Trybunał Sprawiedliwości Unii Europejskiej bada podczas oceny dopuszczalności środka ograniczającego swobodę. </w:t>
      </w:r>
    </w:p>
    <w:p w:rsidR="002C5E87" w:rsidRDefault="002C5E87" w:rsidP="002C5E87">
      <w:pPr>
        <w:numPr>
          <w:ilvl w:val="0"/>
          <w:numId w:val="1"/>
        </w:numPr>
        <w:jc w:val="both"/>
      </w:pPr>
      <w:r>
        <w:t xml:space="preserve">Ograniczenie importu na obszar Unii Europejskiej lub eksportu z obszaru Unii danych towarów do z góry określonego poziomu. </w:t>
      </w:r>
    </w:p>
    <w:p w:rsidR="002C5E87" w:rsidRDefault="002C5E87" w:rsidP="002C5E87">
      <w:pPr>
        <w:jc w:val="both"/>
      </w:pPr>
    </w:p>
    <w:p w:rsidR="002C5E87" w:rsidRDefault="002C5E87" w:rsidP="002C5E87">
      <w:pPr>
        <w:jc w:val="both"/>
      </w:pPr>
    </w:p>
    <w:p w:rsidR="002C5E87" w:rsidRDefault="002C5E87" w:rsidP="002C5E87">
      <w:pPr>
        <w:jc w:val="both"/>
      </w:pPr>
    </w:p>
    <w:p w:rsidR="002C5E87" w:rsidRDefault="002C5E87" w:rsidP="002C5E87">
      <w:pPr>
        <w:jc w:val="both"/>
      </w:pPr>
      <w:r>
        <w:t xml:space="preserve">Hasło: </w:t>
      </w:r>
    </w:p>
    <w:p w:rsidR="00536D21" w:rsidRDefault="00536D21"/>
    <w:sectPr w:rsidR="00536D2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87"/>
    <w:rsid w:val="002C5E87"/>
    <w:rsid w:val="005302B8"/>
    <w:rsid w:val="00536D21"/>
    <w:rsid w:val="00666F05"/>
    <w:rsid w:val="007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8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C5E8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8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C5E8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4</cp:revision>
  <dcterms:created xsi:type="dcterms:W3CDTF">2016-05-04T08:26:00Z</dcterms:created>
  <dcterms:modified xsi:type="dcterms:W3CDTF">2016-05-04T08:31:00Z</dcterms:modified>
</cp:coreProperties>
</file>