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 xml:space="preserve">Cykl kształcenia od roku akademickiego: </w:t>
      </w:r>
      <w:r>
        <w:rPr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Animacja społeczno-kulturowa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Socio-cultural animation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Kierunek studiów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nauki o rodzinie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II stopień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stacjonarne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nauki o rodzinie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Koordynator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mgr Jarosław Figura</w:t>
            </w:r>
          </w:p>
        </w:tc>
      </w:tr>
    </w:tbl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3"/>
        <w:gridCol w:w="2303"/>
        <w:gridCol w:w="2303"/>
        <w:gridCol w:w="2302"/>
      </w:tblGrid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Forma zajęć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Liczba godzin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semestr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Punkty ECTS</w:t>
            </w:r>
          </w:p>
        </w:tc>
      </w:tr>
      <w:tr>
        <w:trPr/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konwersatorium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4"/>
        <w:gridCol w:w="6977"/>
      </w:tblGrid>
      <w:tr>
        <w:trPr/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Wymagania wstępne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W1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/>
              <w:t xml:space="preserve"> Gotowość do uczenia się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C1 </w:t>
            </w:r>
            <w:r>
              <w:rPr>
                <w:rFonts w:eastAsia="Symbol" w:cs="Symbol" w:ascii="Symbol" w:hAnsi="Symbol"/>
              </w:rPr>
              <w:sym w:font="Symbol" w:char="f02d"/>
            </w:r>
            <w:r>
              <w:rPr/>
              <w:t xml:space="preserve"> </w:t>
            </w:r>
            <w:r>
              <w:rPr>
                <w:color w:val="000000"/>
              </w:rPr>
              <w:t xml:space="preserve">pozyskanie wiedzy, umiejętności i kompetencji w zakresie animacji społeczno-kulturowej </w:t>
              <w:br/>
              <w:t>w środowisku społecznym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5953"/>
        <w:gridCol w:w="2159"/>
      </w:tblGrid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Symbol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Opis efektu przedmiotowego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Odniesienie do efektu kierunkowego</w:t>
            </w:r>
          </w:p>
        </w:tc>
      </w:tr>
      <w:tr>
        <w:trPr/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WIEDZA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Student zna i wyjaśnia fakty, teorie i metody dotyczące organizowania lokalnej społeczności.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K_W01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Absolwent zna i wyjaśnia fakty, teorie i metody dotyczące animacji społeczno-kulturowej.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/>
              <w:t>K_W02</w:t>
            </w:r>
          </w:p>
        </w:tc>
      </w:tr>
      <w:tr>
        <w:trPr/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UMIEJĘTNOŚCI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Student potrafi wykonywać zadania oraz formułować i rozwiązywać problemy z zakresu organizowania lokalnej społeczności.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K_U01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Student potrafi</w:t>
            </w:r>
            <w:r>
              <w:rPr>
                <w:rFonts w:cs="Arial" w:ascii="Arial" w:hAnsi="Arial"/>
                <w:sz w:val="18"/>
                <w:szCs w:val="18"/>
                <w:lang w:eastAsia="pl-PL"/>
              </w:rPr>
              <w:t xml:space="preserve"> </w:t>
            </w:r>
            <w:r>
              <w:rPr/>
              <w:t>wykonywać zadania związane z animacją społeczno-kulturową.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/>
              <w:t>K_U06</w:t>
            </w:r>
          </w:p>
        </w:tc>
      </w:tr>
      <w:tr>
        <w:trPr/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KOMPETENCJE SPOŁECZNE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Student jest gotów do</w:t>
            </w:r>
            <w:r>
              <w:rPr>
                <w:rFonts w:cs="Arial" w:ascii="Arial" w:hAnsi="Arial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</w:rPr>
              <w:t>ponoszenia odpowiedzialności za skutki podejmowanych decyzji i działania w zakresie animacji środowiska społecznego.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0000"/>
              </w:rPr>
            </w:pPr>
            <w:r>
              <w:rPr/>
              <w:t>K_K03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Cs/>
              </w:rPr>
            </w:pPr>
            <w:r>
              <w:rPr/>
              <w:t xml:space="preserve">Student jest gotów do </w:t>
            </w:r>
            <w:r>
              <w:rPr>
                <w:bCs/>
              </w:rPr>
              <w:t>wykonywania pracy samodzielnie, jak i funkcjonowania w zespole; budowania własnego autorytetu; obrony przed manipulacją; posługiwania się dialogiem motywującym.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K_K04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Kultura w środowiskach lokalnych – sposoby upowszechniania i strategie rozwoju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Środowiska lokalne – funkcje i dynamika zmian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Znaczenie metod edukacyjnych i wychowawczych w kształtowaniu społeczności obywatelskiej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Sposoby wykorzystania potencjału środowisk lokalnych poprzez animację społeczno-kulturową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Rola instytucji społeczno-kulturowych w funkcjonowaniu regionalnych skupisk ludzkich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Cechy dobrego animatora. Utrudnienia i wsparcie dla jego działań ze strony środowisk lokalnych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Animator - inicjator, koordynator i moderator działań animacyjnych w grupie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Zawody, w których wykorzystywana jest technika animacji społeczno-kulturowej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Zasady tworzenia scenariusza teatralnego, na przykładzie tematyki relacji społecznych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Tworzenie scenariusza spektaklu, zawierającego przykłady animacji społeczno-kulturowej w wybranych środowiskach społecznych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2694"/>
        <w:gridCol w:w="2834"/>
        <w:gridCol w:w="2583"/>
      </w:tblGrid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Symbol efektu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Metody dydaktyczne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Metody weryfikacji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Sposoby dokumentacji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>
        <w:trPr/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WIEDZA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W_01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243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437"/>
            </w:tblGrid>
            <w:tr>
              <w:trPr>
                <w:trHeight w:val="224" w:hRule="atLeast"/>
              </w:trPr>
              <w:tc>
                <w:tcPr>
                  <w:tcW w:w="243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/>
                    <w:t>Wykład konwersatoryjny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Wypowiedź ustna podczas zajęć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Zapis w dzienniku ocen (ocena lub plus/minus)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W_02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Wykład konwersatoryjny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Wypowiedź ustna podczas zajęć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Zapis w dzienniku ocen (ocena lub plus/minus)</w:t>
            </w:r>
          </w:p>
        </w:tc>
      </w:tr>
      <w:tr>
        <w:trPr/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UMIEJĘTNOŚCI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U_01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Dyskusja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Karta obserwacji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U_02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Ćwiczenia praktyczne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Karta obserwacji</w:t>
            </w:r>
          </w:p>
        </w:tc>
      </w:tr>
      <w:tr>
        <w:trPr/>
        <w:tc>
          <w:tcPr>
            <w:tcW w:w="9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KOMPETENCJE SPOŁECZNE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Praca pod kierunkiem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Zapis w dzienniku ocen (ocena lub plus/minus)</w:t>
            </w:r>
          </w:p>
        </w:tc>
      </w:tr>
      <w:tr>
        <w:trPr/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K_02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Uczenie się w oparciu o zadanie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Obserwacja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Zapis w dzienniku ocen (ocena lub plus/minus)</w:t>
            </w:r>
          </w:p>
        </w:tc>
      </w:tr>
    </w:tbl>
    <w:p>
      <w:pPr>
        <w:pStyle w:val="ListParagraph"/>
        <w:ind w:left="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0" w:hanging="0"/>
        <w:rPr/>
      </w:pPr>
      <w:r>
        <w:rPr/>
        <w:t xml:space="preserve">Ocena końcowa jest średnią ważoną ocen: aktywność podczas wykładu konwersatoryjnego, dyskusji, ćwiczeń praktycznych oraz pracy pod kierunkiem (waga 0,80). Obecność - uczestnictwo w zajęciach min. 80% (waga 0,20). </w:t>
      </w:r>
    </w:p>
    <w:p>
      <w:pPr>
        <w:pStyle w:val="ListParagraph"/>
        <w:ind w:left="0" w:hanging="0"/>
        <w:rPr/>
      </w:pPr>
      <w:r>
        <w:rPr/>
      </w:r>
    </w:p>
    <w:p>
      <w:pPr>
        <w:pStyle w:val="ListParagraph"/>
        <w:ind w:left="0" w:hanging="0"/>
        <w:rPr>
          <w:b/>
        </w:rPr>
      </w:pPr>
      <w:r>
        <w:rPr>
          <w:b/>
        </w:rPr>
        <w:t xml:space="preserve">Kryteria oceny: </w:t>
      </w:r>
    </w:p>
    <w:p>
      <w:pPr>
        <w:pStyle w:val="ListParagraph"/>
        <w:ind w:left="0" w:hanging="0"/>
        <w:rPr/>
      </w:pPr>
      <w:r>
        <w:rPr/>
        <w:t xml:space="preserve">5 (bardzo dobra) 91-100% wymagań </w:t>
      </w:r>
    </w:p>
    <w:p>
      <w:pPr>
        <w:pStyle w:val="ListParagraph"/>
        <w:ind w:left="0" w:hanging="0"/>
        <w:rPr/>
      </w:pPr>
      <w:r>
        <w:rPr/>
        <w:t xml:space="preserve">4.5 (dobry plus) wymagań 81-90% wymagań </w:t>
      </w:r>
    </w:p>
    <w:p>
      <w:pPr>
        <w:pStyle w:val="ListParagraph"/>
        <w:ind w:left="0" w:hanging="0"/>
        <w:rPr/>
      </w:pPr>
      <w:r>
        <w:rPr/>
        <w:t xml:space="preserve">4 (dobra) 61-80% wymagań </w:t>
      </w:r>
    </w:p>
    <w:p>
      <w:pPr>
        <w:pStyle w:val="ListParagraph"/>
        <w:ind w:left="0" w:hanging="0"/>
        <w:rPr/>
      </w:pPr>
      <w:r>
        <w:rPr/>
        <w:t xml:space="preserve">3.5 (dostateczna plus) 51-60% wymagań </w:t>
        <w:br/>
        <w:t xml:space="preserve">3 (dostateczna) 31-50% wymagań </w:t>
      </w:r>
    </w:p>
    <w:p>
      <w:pPr>
        <w:pStyle w:val="ListParagraph"/>
        <w:ind w:left="0" w:hanging="0"/>
        <w:rPr/>
      </w:pPr>
      <w:r>
        <w:rPr/>
        <w:t>2 (niedostateczna) poniżej 30% wymagań</w:t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605"/>
      </w:tblGrid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Liczba godzin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Liczba godzin kontaktowych z nauczycielem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Liczba godzin indywidualnej pracy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Literatura podstawowa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color w:val="000000"/>
              </w:rPr>
            </w:pPr>
            <w:r>
              <w:rPr>
                <w:color w:val="000000"/>
              </w:rPr>
              <w:t>Animacja społeczno-kulturalna, Kopczyńska M., Warszawa 1993.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color w:val="000000"/>
              </w:rPr>
            </w:pPr>
            <w:r>
              <w:rPr>
                <w:color w:val="000000"/>
              </w:rPr>
              <w:t>Kultura, animacja, zmiana społeczna, Nowak-Wolna K., Nycz E. (red.), Opole 2013.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color w:val="FF0000"/>
              </w:rPr>
            </w:pPr>
            <w:r>
              <w:rPr>
                <w:color w:val="000000"/>
              </w:rPr>
              <w:t>Animacja współpracy środowiskowej, Mendel M. (red.), Toruń 2004.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Literatura uzupełniająca</w:t>
            </w:r>
          </w:p>
        </w:tc>
      </w:tr>
      <w:tr>
        <w:trPr/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rPr>
                <w:color w:val="000000"/>
              </w:rPr>
            </w:pPr>
            <w:r>
              <w:rPr>
                <w:color w:val="000000"/>
              </w:rPr>
              <w:t>Edukacja i animacja społeczno-kulturalna dorosłych: diagnoza - potrzeby - prognozy, Horbowski A., Potoczny J. (red.), Rzeszów 2007.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e0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eastAsia="en-US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8308E-A8F3-4F2C-AEE4-17FF3355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LibreOffice/7.5.6.2$Windows_X86_64 LibreOffice_project/f654817fb68d6d4600d7d2f6b647e47729f55f15</Application>
  <AppVersion>15.0000</AppVersion>
  <Pages>3</Pages>
  <Words>543</Words>
  <Characters>3770</Characters>
  <CharactersWithSpaces>4182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2025-11-02T17:45:00Z</dcterms:created>
  <dc:creator>Anna Łukasiewicz</dc:creator>
  <dc:description/>
  <dc:language>pl-PL</dc:language>
  <cp:lastModifiedBy>A.</cp:lastModifiedBy>
  <cp:lastPrinted>2019-01-23T11:10:00Z</cp:lastPrinted>
  <dcterms:modified xsi:type="dcterms:W3CDTF">2025-11-24T16:51:00Z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