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KARTA PRZEDMIOTU </w:t>
      </w:r>
    </w:p>
    <w:p>
      <w:pPr>
        <w:pStyle w:val="Normal"/>
        <w:spacing w:before="0" w:after="120"/>
        <w:rPr>
          <w:rFonts w:cs="Calibri" w:cstheme="minorHAnsi"/>
        </w:rPr>
      </w:pPr>
      <w:r>
        <w:rPr>
          <w:rFonts w:cs="Calibri" w:cstheme="minorHAnsi"/>
        </w:rPr>
        <w:t xml:space="preserve">Cykl kształcenia od roku akademickiego: </w:t>
      </w:r>
      <w:r>
        <w:rPr>
          <w:rFonts w:cs="Calibri" w:cstheme="minorHAnsi"/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Duszpasterstwo rodzin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Style w:val="Tlid-translation"/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Pastoral care of families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nauki teologiczne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2"/>
        <w:gridCol w:w="4529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Ks. dr hab. Mirosław Brzeziński, prof. KUL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159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5"/>
        <w:gridCol w:w="6847"/>
        <w:gridCol w:w="6846"/>
      </w:tblGrid>
      <w:tr>
        <w:trPr/>
        <w:tc>
          <w:tcPr>
            <w:tcW w:w="22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W1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Ogólna wiedza na temat działalności duszpasterskiej Kościoła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W2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Ogólna wiedza na temat zadań Kościoła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W3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Ogólna wiedza na temat struktury Kościoła</w:t>
            </w:r>
          </w:p>
        </w:tc>
        <w:tc>
          <w:tcPr>
            <w:tcW w:w="6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przedstawienie genezy i założeń troski Kościoła o małżeństwo i rodzinę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C2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ukazanie istoty, struktury celów i zadań duszpasterstwa rodzin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C3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ukazanie zasad i obszarów działań duszpasterstwa rodzin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C4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przedstawienie środków i sposobów realizacji przez duszpasterstwo rodzin celów i zadań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C5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pl-PL" w:bidi="ar-SA"/>
              </w:rPr>
              <w:sym w:font="Symbol" w:char="f02d"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przygotowanie do podjęcia działań w obszarze duszpasterstwa rodzin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1"/>
        <w:gridCol w:w="2138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Student zna i rozumie pojęcie i struktury duszpasterstwa rodzin; rozumie kontekst i zasady działalności duszpasterstwa rodzin, identyfikuje i wyjaśnia podstawowe zadania duszpasterstwa rodzin.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Student identyfikuje i wyjaśnia zależności pomiędzy teorią a praktyką duszpasterskiej działalności Kościoła, rozumie potrzebę głębszego rozpoznania sytuacji rodziny by efektywnie jej pomóc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K_W03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Student identyfikuje i definiuje problemy współczesnej rodziny i potrafi prowadzić debatę na temat duszpasterstwa rodzin jako odpowiedzi na potrzeby małżeństw i rodzin; interpretuje sytuację małżeństw o rodzin, objaśnia sytuacje rodzin i dostosowuje działania duszpasterstwa rodzin w sytuacjach trudnych czy w sytuacjach nieprawidłowych.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K_U01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Student posługuje się zdobytą wiedzą, objaśnia sytuację i dostosowuje działania duszpasterskie do potrzeb małżeństw i rodzin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K_U03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Student jest gotów inspirować i organizować działalność na rzecz środowiska społecznego w oparciu o wiedzę dotyczącą charytatywnej posługi Kościoła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Student wykazuje zainteresowanie problemami małżeństw i rodzin, wyraża gotowość uczestniczenia i współpracy w rozwiązywaniu problemów małżeństw i rodzin 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K_K02</w:t>
            </w:r>
          </w:p>
        </w:tc>
      </w:tr>
    </w:tbl>
    <w:p>
      <w:pPr>
        <w:pStyle w:val="ListParagraph"/>
        <w:ind w:left="1080" w:hanging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Kościół w służbie małżeństwu i rodzinie.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Geneza, podstawy, pojęcie, struktury duszpasterstwa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Osoby odpowiedzialne i zaangażowane w duszpasterstwo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Sytuacja współczesnej rodziny - kontekst działalności duszpasterstwa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Duszpasterstwo rodzin jako odpowiedź na potrzeby małżeństw i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Rodzina podstawową drogą Kościoła.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Duszpasterstwo rodzin jako działalność zbawcza.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Potrzeby rodzin zaspokajane przez Kościół.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Zasady działania duszpasterstwa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Podstawowe i niezbywalne zadania duszpasterstwa rodzin.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Duszpasterstwo rodzin w sytuacjach trudnych.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Duszpasterstwo rodzin w sytuacjach nieprawidłowych.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Zadania duszpasterstwa rodzin a religijna sytuacja rodziny.</w:t>
            </w:r>
          </w:p>
        </w:tc>
      </w:tr>
    </w:tbl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658"/>
        <w:gridCol w:w="2773"/>
        <w:gridCol w:w="2539"/>
      </w:tblGrid>
      <w:tr>
        <w:trPr/>
        <w:tc>
          <w:tcPr>
            <w:tcW w:w="10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konwencjonalny, wykład konwersatoryjny,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problemowy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Egzamin,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wypowiedź ustna podczas zajęć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Protokół z ocenami,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konwencjonalny, wykład konwersatoryjny,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problemowy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Egzamin,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wypowiedź ustna podczas zajęć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 z ocenami,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konwencjonalny, wykład konwersatoryjny,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wykład problemowy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Egzamin,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wypowiedź ustna podczas zajęć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Protokół z ocenami,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left="1080" w:hanging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Kryteria oceny, wagi…</w:t>
      </w:r>
    </w:p>
    <w:p>
      <w:pPr>
        <w:pStyle w:val="ListParagraph"/>
        <w:ind w:left="0" w:hanging="0"/>
        <w:jc w:val="both"/>
        <w:rPr>
          <w:rFonts w:cs="Calibri" w:cstheme="minorHAnsi"/>
        </w:rPr>
      </w:pPr>
      <w:r>
        <w:rPr>
          <w:rFonts w:cs="Calibri" w:cstheme="minorHAnsi"/>
        </w:rPr>
        <w:t>Ocena końcowa jest wynikiem przekazanej wiedzy podczas egzaminu (80%) i aktywności podczas wykładu konwersatoryjnego i problemowego (20%).</w:t>
      </w:r>
    </w:p>
    <w:p>
      <w:pPr>
        <w:pStyle w:val="ListParagraph"/>
        <w:ind w:left="0" w:hanging="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Kryteria oceny: </w:t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>2 (niedostateczna) poniżej 50% wymagań</w:t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>3  (dostateczna) 51-60% wymagań</w:t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3,5 (dostateczna plus) 61-70% wymagań </w:t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>4 (dobra) 71-80% wymagań</w:t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 xml:space="preserve">4,5 (dobry plus) wymagań 81-90% wymagań </w:t>
      </w:r>
    </w:p>
    <w:p>
      <w:pPr>
        <w:pStyle w:val="ListParagraph"/>
        <w:ind w:left="0" w:hanging="0"/>
        <w:rPr>
          <w:rFonts w:cs="Calibri" w:cstheme="minorHAnsi"/>
          <w:b/>
        </w:rPr>
      </w:pPr>
      <w:r>
        <w:rPr>
          <w:rFonts w:cs="Calibri" w:cstheme="minorHAnsi"/>
        </w:rPr>
        <w:t>5 (bardzo dobra) 91-100% wymagań</w:t>
      </w:r>
    </w:p>
    <w:p>
      <w:pPr>
        <w:pStyle w:val="ListParagraph"/>
        <w:ind w:left="0" w:hanging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ind w:left="0" w:hanging="0"/>
        <w:rPr>
          <w:rFonts w:cs="Calibri" w:cstheme="minorHAnsi"/>
        </w:rPr>
      </w:pPr>
      <w:r>
        <w:rPr>
          <w:rFonts w:cs="Calibri" w:cstheme="minorHAnsi"/>
        </w:rPr>
        <w:t>Stopień posiadania kompetencji społecznych oceniany wg skali: niewielki (2.0 – 2,5), podstawowy, (3.0 - 3,5), średni (4.0 – 4,5), wysoki (5,0 i ponad 5.00)</w:t>
      </w:r>
    </w:p>
    <w:p>
      <w:pPr>
        <w:pStyle w:val="Normal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val="en-US"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en-US" w:eastAsia="pl-PL" w:bidi="ar-SA"/>
              </w:rPr>
              <w:t xml:space="preserve">Jan Paweł II,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en-US" w:eastAsia="pl-PL" w:bidi="ar-SA"/>
              </w:rPr>
              <w:t>Familiaris consortio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en-US" w:eastAsia="pl-PL" w:bidi="ar-SA"/>
              </w:rPr>
              <w:t xml:space="preserve"> (22.11.1981).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Jan Paweł II,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List do rodzin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(02.02.1994).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Franciszek,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Amoris laetitia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(19.03.2016).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Papieska Rada ds. Rodziny,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Przygotowanie do sakramentu małżeństwa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(13.05.1996).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Papieska Rada ds. Rodziny,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osób żyjących w nowych związkach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(25.01.1997).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Papieska Rada ds. Rodziny,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Rodzina, małżeństwo i wolne związki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(26.07.2000).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Konferencja Episkopatu Polski,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Dyrektorium Duszpasterstwa Rodzin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(01.05.2003).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Bieleń R.,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rodzin we współczesnej Polsce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2001.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Brzeziński M.,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W trosce o dobro małżeństwa i rodziny. T. I. Dokumenty Papieskiej Rady ds. Rodziny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2010.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Brzeziński M.,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W trosce o życie, małżeństwo i rodzinę. Nauczanie Papieskiej Rady ds. Rodziny 1981-2016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2016.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Buxakowski J.,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Wprowadzenie do teologii duszpasterstwa rodzin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Pelplin 1999.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Kamiński R., Pyźlak G., Goleń J. (red),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rodzin. refleksja naukowa i działalność pastoralna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2013.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Parysiewicz B.,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Troska duszpasterstwa rodzin o małżeństwo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Lublin 2012.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Wilk J.,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rodzin: zasady praktycznego działania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1986.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Zarembski Z.,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Troska Kościoła w Polsce o małżeństwo i rodzinę po Soborze Watykańskim II: studium teologicznopastoralne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Toruń 2013.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Konferencja Episkopatu Polski,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Służyć prawdzie o małżeństwie i rodzinie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 (19.06.2009).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Konferencja Episkopatu Polski,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II Synod Plenarny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Poznań 2001. </w:t>
            </w:r>
          </w:p>
          <w:p>
            <w:pPr>
              <w:pStyle w:val="Normal"/>
              <w:widowControl/>
              <w:spacing w:lineRule="auto" w:line="240" w:before="0" w:after="0"/>
              <w:ind w:left="12" w:right="0" w:hanging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Brzeziński M.,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 xml:space="preserve">Karta Praw Rodziny i duszpasterstwo rodzin w służbie podstawowej jednostce społecznej i społeczeństwu,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[w:] W. Wieczorek, M. Brzeziński (red),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 xml:space="preserve">25 lat Karty Praw Rodziny – aktualność i wartość przesłania,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Lublin 2008, s.159-173.</w:t>
            </w:r>
          </w:p>
          <w:p>
            <w:pPr>
              <w:pStyle w:val="Normal"/>
              <w:widowControl/>
              <w:spacing w:lineRule="auto" w:line="240" w:before="0" w:after="0"/>
              <w:ind w:left="12" w:right="0" w:hanging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Brzeziński M.,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Naturalne planowanie rodziny w polu działania Duszpasterstwa Rodzin,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[w]: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Naturalne planowanie rodziny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Lublin 2008, s. 433-444.</w:t>
            </w:r>
          </w:p>
          <w:p>
            <w:pPr>
              <w:pStyle w:val="Normal"/>
              <w:widowControl/>
              <w:spacing w:lineRule="auto" w:line="240" w:before="0" w:after="0"/>
              <w:ind w:left="12" w:right="0" w:hanging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Brzeziński M.,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Aborcja wyzwaniem dla duszpasterstwa rodzin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. W: M. Z. Stepulak (red).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 xml:space="preserve"> Małżeństwo i rodzina wobec aborcji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, Lublin 2010, s. 143-159.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Brzeziński M., </w:t>
            </w:r>
            <w:r>
              <w:rPr>
                <w:rFonts w:eastAsia="Calibri" w:cs="Calibri" w:cstheme="minorHAnsi"/>
                <w:i/>
                <w:kern w:val="0"/>
                <w:sz w:val="22"/>
                <w:szCs w:val="22"/>
                <w:lang w:val="pl-PL" w:eastAsia="en-US" w:bidi="ar-SA"/>
              </w:rPr>
              <w:t>Duszpasterska troska o rodziny adopcyjne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[w:] Studia Teologiczne Białystok – Drohiczyn – Łomża 28/2010, s. 213-216.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Buxakowski J.,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Cykl 25 katechez przedmałżeńskich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Pelplin 2004.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Goleń J.,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Motywy zawarcia małżeństwa sakramentalnego: studium z duszpasterstwa rodzin w świetle badań narzeczonych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Lublin 2013.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Krajczyński J.,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Prawo rodziny do opieki duszpasterskiej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Ząbki 2007.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Miziołek W.,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rodzin specjalnej troski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Lublin 1992.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Pryba A., </w:t>
            </w:r>
            <w:r>
              <w:rPr>
                <w:rFonts w:eastAsia="Times New Roman" w:cs="Calibri" w:cstheme="minorHAnsi"/>
                <w:i/>
                <w:kern w:val="0"/>
                <w:sz w:val="22"/>
                <w:szCs w:val="22"/>
                <w:lang w:val="pl-PL" w:eastAsia="pl-PL" w:bidi="ar-SA"/>
              </w:rPr>
              <w:t>Duszpasterstwo rodzin w teorii i praktyce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, Poznań 2015.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7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lid-translation" w:customStyle="1">
    <w:name w:val="tlid-translation"/>
    <w:basedOn w:val="DefaultParagraphFont"/>
    <w:qFormat/>
    <w:rsid w:val="00a336e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08F6-899C-4293-B9FC-8C829328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LibreOffice/7.5.6.2$Windows_X86_64 LibreOffice_project/f654817fb68d6d4600d7d2f6b647e47729f55f15</Application>
  <AppVersion>15.0000</AppVersion>
  <Pages>4</Pages>
  <Words>927</Words>
  <Characters>6277</Characters>
  <CharactersWithSpaces>7060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2025-11-04T20:09:00Z</dcterms:created>
  <dc:creator>Anna Łukasiewicz</dc:creator>
  <dc:description/>
  <dc:language>pl-PL</dc:language>
  <cp:lastModifiedBy>A.</cp:lastModifiedBy>
  <cp:lastPrinted>2019-01-23T11:10:00Z</cp:lastPrinted>
  <dcterms:modified xsi:type="dcterms:W3CDTF">2025-11-20T11:49:00Z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e7ea49875692dfeac7514c0f99b9603061f5b183fa8292c290a875860bbf45c2</vt:lpwstr>
  </property>
</Properties>
</file>