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KARTA PRZEDMIOTU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Dane podstawowe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27"/>
        <w:gridCol w:w="4534"/>
      </w:tblGrid>
      <w:tr>
        <w:trPr/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Nazwa przedmiotu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Ekonomika i finanse gospodarstwa domowego</w:t>
            </w:r>
          </w:p>
        </w:tc>
      </w:tr>
      <w:tr>
        <w:trPr/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Nazwa przedmiotu w języku angielskim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Household economics and finance</w:t>
            </w:r>
          </w:p>
        </w:tc>
      </w:tr>
      <w:tr>
        <w:trPr/>
        <w:tc>
          <w:tcPr>
            <w:tcW w:w="452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Kierunek studiów </w:t>
            </w:r>
          </w:p>
        </w:tc>
        <w:tc>
          <w:tcPr>
            <w:tcW w:w="45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Interdyscyplinarne Studia nad Małżeństwem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 Rodziną</w:t>
            </w:r>
          </w:p>
        </w:tc>
      </w:tr>
      <w:tr>
        <w:trPr/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Poziom studiów (I, II, jednolite magisterskie)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II stopień</w:t>
            </w:r>
          </w:p>
        </w:tc>
      </w:tr>
      <w:tr>
        <w:trPr/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Forma studiów (stacjonarne, niestacjonarne)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hybrydowe</w:t>
            </w:r>
          </w:p>
        </w:tc>
      </w:tr>
      <w:tr>
        <w:trPr/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Dyscyplina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EE0000"/>
              </w:rPr>
            </w:pPr>
            <w:r>
              <w:rPr>
                <w:rFonts w:eastAsia="Calibri" w:cs=""/>
                <w:color w:val="EE0000"/>
                <w:kern w:val="0"/>
                <w:sz w:val="22"/>
                <w:szCs w:val="22"/>
                <w:lang w:val="pl-PL" w:eastAsia="en-US" w:bidi="ar-SA"/>
              </w:rPr>
              <w:t>ekonomia</w:t>
            </w:r>
          </w:p>
        </w:tc>
      </w:tr>
      <w:tr>
        <w:trPr/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Język wykładowy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Język polski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40"/>
        <w:gridCol w:w="4521"/>
      </w:tblGrid>
      <w:tr>
        <w:trPr/>
        <w:tc>
          <w:tcPr>
            <w:tcW w:w="454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Koordynator przedmiotu/osoba odpowiedzialna</w:t>
            </w:r>
          </w:p>
        </w:tc>
        <w:tc>
          <w:tcPr>
            <w:tcW w:w="4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 hab. Janina Kotlińska, prof. KUL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5"/>
        <w:gridCol w:w="2257"/>
        <w:gridCol w:w="2261"/>
        <w:gridCol w:w="2258"/>
      </w:tblGrid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Forma zajęć</w:t>
            </w:r>
            <w:r>
              <w:rPr>
                <w:rFonts w:eastAsia="Calibri" w:cs=""/>
                <w:i/>
                <w:kern w:val="0"/>
                <w:sz w:val="22"/>
                <w:szCs w:val="22"/>
                <w:lang w:val="pl-PL" w:eastAsia="en-US" w:bidi="ar-SA"/>
              </w:rPr>
              <w:t>(katalog zamknięty ze słownika)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semestr</w:t>
            </w:r>
          </w:p>
        </w:tc>
        <w:tc>
          <w:tcPr>
            <w:tcW w:w="2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Punkty ECTS</w:t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wykład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konwersatorium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30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ćwiczenia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laboratorium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warsztaty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seminarium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proseminarium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lektorat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praktyki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zajęcia terenowe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pracownia dyplomowa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translatorium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wizyta studyjna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11"/>
        <w:gridCol w:w="6850"/>
      </w:tblGrid>
      <w:tr>
        <w:trPr/>
        <w:tc>
          <w:tcPr>
            <w:tcW w:w="22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Wymagania wstępne</w:t>
            </w:r>
          </w:p>
        </w:tc>
        <w:tc>
          <w:tcPr>
            <w:tcW w:w="685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175" w:right="0" w:hanging="175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1. Podstawowe wiadomości z zakresu funkcjonowania gospodarstw domowych w otoczeniu rynkowym.</w:t>
            </w:r>
          </w:p>
          <w:p>
            <w:pPr>
              <w:pStyle w:val="Normal"/>
              <w:widowControl/>
              <w:spacing w:lineRule="auto" w:line="240" w:before="0" w:after="0"/>
              <w:ind w:left="175" w:right="0" w:hanging="175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2. Podstawowe wiadomości z zakresu instrumentów finansowych determinujących zasoby finansowe gospodarstw domowych.  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284" w:right="0" w:hanging="284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1. Zapoznanie studentów z podstawami ekonomiki gospodarstw domowych.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284" w:right="0" w:hanging="284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2. Rozwijanie umiejętności analizy decyzji finansowych podejmowanych w gospodarstwach domowych.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284" w:right="0" w:hanging="284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3. Nabycie praktycznych umiejętności w zakresie planowania budżetu, oszczędzania, inwestowania i zarządzania zadłużeniem.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284" w:right="0" w:hanging="284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4. Kształtowanie postaw świadomego i odpowiedzialnego uczestnika rynku finansowego.</w:t>
            </w:r>
          </w:p>
        </w:tc>
      </w:tr>
    </w:tbl>
    <w:p>
      <w:pPr>
        <w:pStyle w:val="ListParagraph"/>
        <w:ind w:left="1080" w:hanging="0"/>
        <w:rPr>
          <w:b/>
        </w:rPr>
      </w:pPr>
      <w:r>
        <w:rPr>
          <w:b/>
        </w:rPr>
      </w:r>
    </w:p>
    <w:p>
      <w:pPr>
        <w:pStyle w:val="ListParagraph"/>
        <w:ind w:left="1080" w:hanging="0"/>
        <w:rPr>
          <w:b/>
        </w:rPr>
      </w:pPr>
      <w:r>
        <w:rPr>
          <w:b/>
        </w:rPr>
      </w:r>
    </w:p>
    <w:p>
      <w:pPr>
        <w:pStyle w:val="ListParagraph"/>
        <w:ind w:left="108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Efekty uczenia się dla przedmiotu wraz z odniesieniem do efektów kierunkowych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3"/>
        <w:gridCol w:w="5831"/>
        <w:gridCol w:w="2138"/>
      </w:tblGrid>
      <w:tr>
        <w:trPr/>
        <w:tc>
          <w:tcPr>
            <w:tcW w:w="10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Symbol</w:t>
            </w:r>
          </w:p>
        </w:tc>
        <w:tc>
          <w:tcPr>
            <w:tcW w:w="583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Opis efektu przedmiotowego</w:t>
            </w:r>
          </w:p>
        </w:tc>
        <w:tc>
          <w:tcPr>
            <w:tcW w:w="21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Odniesienie do efektu kierunkowego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0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W_01</w:t>
            </w:r>
          </w:p>
        </w:tc>
        <w:tc>
          <w:tcPr>
            <w:tcW w:w="58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Student wskazuje i rozumie podstawowe teorie i pojęcia z zakresu ekonomiki gospodarstw domowych. </w:t>
            </w:r>
          </w:p>
        </w:tc>
        <w:tc>
          <w:tcPr>
            <w:tcW w:w="21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K_W01</w:t>
            </w:r>
          </w:p>
        </w:tc>
      </w:tr>
      <w:tr>
        <w:trPr/>
        <w:tc>
          <w:tcPr>
            <w:tcW w:w="10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W_02</w:t>
            </w:r>
          </w:p>
        </w:tc>
        <w:tc>
          <w:tcPr>
            <w:tcW w:w="58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Student identyfikuje i wyjaśnia strukturę dochodów i wydatków gospodarstw domowych oraz ich determinanty.</w:t>
            </w:r>
          </w:p>
        </w:tc>
        <w:tc>
          <w:tcPr>
            <w:tcW w:w="21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K_W02</w:t>
            </w:r>
          </w:p>
        </w:tc>
      </w:tr>
      <w:tr>
        <w:trPr/>
        <w:tc>
          <w:tcPr>
            <w:tcW w:w="10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W_03</w:t>
            </w:r>
          </w:p>
        </w:tc>
        <w:tc>
          <w:tcPr>
            <w:tcW w:w="58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EE0000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Student wymienia i definiuje instrumenty finansowych determinujące zasoby gospodarstw domowych i ich członków, a także potrafi wyjaśnić ich funkcjonowanie. </w:t>
            </w:r>
          </w:p>
        </w:tc>
        <w:tc>
          <w:tcPr>
            <w:tcW w:w="213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K_W02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UMIEJĘTNOŚCI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U_01</w:t>
            </w:r>
          </w:p>
        </w:tc>
        <w:tc>
          <w:tcPr>
            <w:tcW w:w="58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Student potrafi opracować i przeanalizować budżet gospodarstwa domowego. 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K_U01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U_02</w:t>
            </w:r>
          </w:p>
        </w:tc>
        <w:tc>
          <w:tcPr>
            <w:tcW w:w="58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Student umie dobrać i porównać instrumenty finansowe adresowane do gospodarstw domowych i ich członków i zarządzać finansami gospodarstwa domowego.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K_U02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U_03</w:t>
            </w:r>
          </w:p>
        </w:tc>
        <w:tc>
          <w:tcPr>
            <w:tcW w:w="58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Student potrafi ocenić skutki polityki państwa (fiskalnej, rodzinnej, senioralnej) dla finansów gospodarstwa domowego.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K_U03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KOMPETENCJE SPOŁECZNE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K_01</w:t>
            </w:r>
          </w:p>
        </w:tc>
        <w:tc>
          <w:tcPr>
            <w:tcW w:w="58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color w:val="EE0000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Student potrafi krytycznie analizować oferty instytucji finansowych i zdecydować, którą z nich wybrać w danych okolicznościach. 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K_K01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K_02</w:t>
            </w:r>
          </w:p>
        </w:tc>
        <w:tc>
          <w:tcPr>
            <w:tcW w:w="58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Student uznaje znaczenie odpowiedzialności finansowej i etycznych aspektów przy podejmowaniu decyzji ekonomicznych.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K_K02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K_03</w:t>
            </w:r>
          </w:p>
        </w:tc>
        <w:tc>
          <w:tcPr>
            <w:tcW w:w="58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Student potrafi współpracować w grupie przy opracowywaniu projektów finansowych. 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K_K04</w:t>
            </w:r>
          </w:p>
        </w:tc>
      </w:tr>
    </w:tbl>
    <w:p>
      <w:pPr>
        <w:pStyle w:val="ListParagraph"/>
        <w:ind w:left="108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Opis przedmiotu/ treści programowe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Wprowadzenie do ekonomiki gospodarstw domowych.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Pojęcie, rodzaje, struktura i funkcje gospodarstw domowych.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Cykl życia gospodarstwa domowego.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Teorie konsumpcji i zachowania konsumentów.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Polityka państwa wobec gospodarstw domowych.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Dochody gospodarstwa domowego – źródła i zróżnicowanie.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Wydatki gospodarstw domowych – kierunki i struktura.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Budżet gospodarstwa – metody planowania i kontroli.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Zarządzanie finansami gospodarstwa domowego – profesjonalne wsparcie, perspektywa zmian zachodzących w gospodarstwie .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Bezpieczeństwo finansowe gospodarstw domowych, w tym ich reakcje na kryzysy gospodarcze.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Oszczędności i inwestycje gospodarstw domowych.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Kredyty i zadłużenie gospodarstw domowych.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Ubezpieczenia w gospodarstwie domowym.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Podsumowanie, prezentacje studenckie.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Metody realizacji weryfikacji efektów uczenia się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1"/>
        <w:gridCol w:w="3298"/>
        <w:gridCol w:w="2130"/>
        <w:gridCol w:w="2542"/>
      </w:tblGrid>
      <w:tr>
        <w:trPr/>
        <w:tc>
          <w:tcPr>
            <w:tcW w:w="10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Symbol efektu</w:t>
            </w:r>
          </w:p>
        </w:tc>
        <w:tc>
          <w:tcPr>
            <w:tcW w:w="329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Metody dydaktyczne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Metody weryfikacji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  <w:tc>
          <w:tcPr>
            <w:tcW w:w="254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Sposoby dokumentacji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W_01</w:t>
            </w:r>
          </w:p>
        </w:tc>
        <w:tc>
          <w:tcPr>
            <w:tcW w:w="32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wykład problemowy z prezentacją multimedialną (stacjonarnie lub zdalnie przy wykorzystaniu narzędzia Microsoft Office 365), design thinking, „burza mózgów”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zapis w pliku PDF umieszczony na platformie Moodle, notatka przygotowana przez studentów</w:t>
            </w:r>
          </w:p>
        </w:tc>
      </w:tr>
      <w:tr>
        <w:trPr/>
        <w:tc>
          <w:tcPr>
            <w:tcW w:w="1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W_02</w:t>
            </w:r>
          </w:p>
        </w:tc>
        <w:tc>
          <w:tcPr>
            <w:tcW w:w="32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wykład problemowy z prezentacją multimedialną (stacjonarnie lub zdalnie przy wykorzystaniu narzędzia Microsoft Office 365), studium przypadku, design thinking ,dyskusja, „burza mózgów”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zapis obserwacji w pliku PDF, notatka przygotowana przez studentów</w:t>
            </w:r>
          </w:p>
        </w:tc>
      </w:tr>
      <w:tr>
        <w:trPr/>
        <w:tc>
          <w:tcPr>
            <w:tcW w:w="1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W_03</w:t>
            </w:r>
          </w:p>
        </w:tc>
        <w:tc>
          <w:tcPr>
            <w:tcW w:w="32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wykład problemowy z prezentacją multimedialną (stacjonarnie lub zdalnie przy wykorzystaniu narzędzia Microsoft Office 365), studium przypadku,  dyskusja, design thinking, „burza mózgów”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zapis obserwacji w pliku PDF, notatka przygotowana przez studentów</w:t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UMIEJĘTNOŚCI</w:t>
            </w:r>
          </w:p>
        </w:tc>
      </w:tr>
      <w:tr>
        <w:trPr/>
        <w:tc>
          <w:tcPr>
            <w:tcW w:w="1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U_01</w:t>
            </w:r>
          </w:p>
        </w:tc>
        <w:tc>
          <w:tcPr>
            <w:tcW w:w="32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praca do samodzielnego wykonania przez studentów, praca w grupach, design thinking, „burza mózgów”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zapis w pliku PDF, notatka przygotowana przez studentów i mieszczona na platformie Moodle</w:t>
            </w:r>
          </w:p>
        </w:tc>
      </w:tr>
      <w:tr>
        <w:trPr/>
        <w:tc>
          <w:tcPr>
            <w:tcW w:w="1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U_02</w:t>
            </w:r>
          </w:p>
        </w:tc>
        <w:tc>
          <w:tcPr>
            <w:tcW w:w="32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praca zespołowa, design thinking, „burza mózgów”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zapis w pliku PDF, notatka przygotowana przez studentów</w:t>
            </w:r>
          </w:p>
        </w:tc>
      </w:tr>
      <w:tr>
        <w:trPr/>
        <w:tc>
          <w:tcPr>
            <w:tcW w:w="1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U_03</w:t>
            </w:r>
          </w:p>
        </w:tc>
        <w:tc>
          <w:tcPr>
            <w:tcW w:w="32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metoda projektu, analiza tekstu, design thinking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zapis w pliku PDF, notatka przygotowana przez studentów, test</w:t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KOMPETENCJE SPOŁECZNE</w:t>
            </w:r>
          </w:p>
        </w:tc>
      </w:tr>
      <w:tr>
        <w:trPr/>
        <w:tc>
          <w:tcPr>
            <w:tcW w:w="1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K_01</w:t>
            </w:r>
          </w:p>
        </w:tc>
        <w:tc>
          <w:tcPr>
            <w:tcW w:w="32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ćwiczenia praktyczne 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1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K_02</w:t>
            </w:r>
          </w:p>
        </w:tc>
        <w:tc>
          <w:tcPr>
            <w:tcW w:w="32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dialog, dyskusja, design thinking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10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K_04</w:t>
            </w:r>
          </w:p>
        </w:tc>
        <w:tc>
          <w:tcPr>
            <w:tcW w:w="329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dialog prowadzącego zajęcia ze studentami, design thinking ,dyskusja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ListParagraph"/>
        <w:ind w:left="108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Kryteria oceny, wagi</w:t>
      </w:r>
    </w:p>
    <w:p>
      <w:pPr>
        <w:pStyle w:val="Normal"/>
        <w:spacing w:before="0" w:after="0"/>
        <w:jc w:val="both"/>
        <w:rPr/>
      </w:pPr>
      <w:r>
        <w:rPr/>
        <w:t>Zaliczenie przedmiotu na ocenę w oparciu o: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ListParagraph"/>
        <w:numPr>
          <w:ilvl w:val="0"/>
          <w:numId w:val="4"/>
        </w:numPr>
        <w:rPr/>
      </w:pPr>
      <w:r>
        <w:rPr/>
        <w:t>aktywność na zajęciach – 20% (max. 20 pkt)</w:t>
      </w:r>
    </w:p>
    <w:p>
      <w:pPr>
        <w:pStyle w:val="ListParagraph"/>
        <w:numPr>
          <w:ilvl w:val="0"/>
          <w:numId w:val="4"/>
        </w:numPr>
        <w:rPr/>
      </w:pPr>
      <w:r>
        <w:rPr/>
        <w:t>praca projektowa w grupach (budżet/inwestycje/studium przypadku) – 40% (max. 40 pkt)</w:t>
      </w:r>
    </w:p>
    <w:p>
      <w:pPr>
        <w:pStyle w:val="ListParagraph"/>
        <w:numPr>
          <w:ilvl w:val="0"/>
          <w:numId w:val="4"/>
        </w:numPr>
        <w:rPr/>
      </w:pPr>
      <w:r>
        <w:rPr/>
        <w:t>test końcowy / esej problemowy – 40% (max. 40 pkt)</w:t>
      </w:r>
    </w:p>
    <w:p>
      <w:pPr>
        <w:pStyle w:val="Normal"/>
        <w:spacing w:before="0" w:after="0"/>
        <w:jc w:val="both"/>
        <w:rPr/>
      </w:pPr>
      <w:r>
        <w:rPr/>
        <w:t>Oceny: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rPr/>
      </w:pPr>
      <w:r>
        <w:rPr/>
        <w:t>bardzo dobry - niezbędne jest uzyskanie 91 pkt i więcej (max. 100),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rPr/>
      </w:pPr>
      <w:r>
        <w:rPr/>
        <w:t>dobry plus - niezbędne jest uzyskanie od 81 do 90 pkt,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rPr/>
      </w:pPr>
      <w:r>
        <w:rPr/>
        <w:t>dobry - niezbędne jest uzyskanie od 71 do 80 pkt,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rPr/>
      </w:pPr>
      <w:r>
        <w:rPr/>
        <w:t>dostateczny plus - niezbędne jest uzyskanie od 61 do 70 pkt,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rPr/>
      </w:pPr>
      <w:r>
        <w:rPr/>
        <w:t>dostateczny - niezbędne jest uzyskanie od 51 do 60 pkt.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  <w:t>Ocenę niedostateczną otrzymuje osoba, która z trzech form aktywności otrzymała 50 pkt i mniej.</w:t>
      </w:r>
    </w:p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Obciążenie pracą studenta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8"/>
        <w:gridCol w:w="4523"/>
      </w:tblGrid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Forma aktywności studenta</w:t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</w:t>
            </w:r>
          </w:p>
        </w:tc>
      </w:tr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Liczba godzin kontaktowych z nauczycielem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18"/>
                <w:szCs w:val="18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30</w:t>
            </w:r>
          </w:p>
        </w:tc>
      </w:tr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 indywidualnej pracy studenta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18"/>
                <w:szCs w:val="18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50</w:t>
            </w:r>
          </w:p>
        </w:tc>
      </w:tr>
    </w:tbl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Literatura podstawowa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u w:val="single"/>
              </w:rPr>
            </w:pPr>
            <w:r>
              <w:rPr>
                <w:rFonts w:eastAsia="Calibri" w:cs=""/>
                <w:kern w:val="0"/>
                <w:sz w:val="22"/>
                <w:szCs w:val="22"/>
                <w:u w:val="single"/>
                <w:lang w:val="pl-PL" w:eastAsia="en-US" w:bidi="ar-SA"/>
              </w:rPr>
              <w:t>Pozycje zwarte: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Bywalec, C. (2017), </w:t>
            </w: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pl-PL" w:eastAsia="en-US" w:bidi="ar-SA"/>
              </w:rPr>
              <w:t>Ekonomika i finanse gospodarstw domowych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, PWN.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Kata, R. (red.) (2020), </w:t>
            </w: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pl-PL" w:eastAsia="en-US" w:bidi="ar-SA"/>
              </w:rPr>
              <w:t>Bezpieczeństwo finansowe gospodarstw domowych – wybrane zagadnienia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, Wydawnictwo Uniwersytetu Rzeszowskiego.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Kotowska, I.E. (red.) (2020), </w:t>
            </w: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pl-PL" w:eastAsia="en-US" w:bidi="ar-SA"/>
              </w:rPr>
              <w:t>Gospodarstwa domowe w Polsce – uwarunkowania ekonomiczne i demograficzne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, SGH.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Patrzałek, W. (2013), </w:t>
            </w: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pl-PL" w:eastAsia="en-US" w:bidi="ar-SA"/>
              </w:rPr>
              <w:t>Procesy komunikacji a mechanizmy podejmowania decyzji w gospodarstwach domowych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, Wydawnictwo UE we Wrocławiu.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Świecka, B. (red.) (2008), </w:t>
            </w: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pl-PL" w:eastAsia="en-US" w:bidi="ar-SA"/>
              </w:rPr>
              <w:t>Bankructwa gospodarstw domowych. Perspektywa ekonomiczna i społeczna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, Difin. 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Świecka, B. (2018), </w:t>
            </w: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pl-PL" w:eastAsia="en-US" w:bidi="ar-SA"/>
              </w:rPr>
              <w:t>Zarządzanie finansami osobistymi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, Difin.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u w:val="single"/>
              </w:rPr>
            </w:pPr>
            <w:r>
              <w:rPr>
                <w:rFonts w:eastAsia="Calibri" w:cs=""/>
                <w:kern w:val="0"/>
                <w:sz w:val="22"/>
                <w:szCs w:val="22"/>
                <w:u w:val="single"/>
                <w:lang w:val="pl-PL" w:eastAsia="en-US" w:bidi="ar-SA"/>
              </w:rPr>
              <w:t>Artykuły: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Bolibok, P. (2017), </w:t>
            </w: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pl-PL" w:eastAsia="en-US" w:bidi="ar-SA"/>
              </w:rPr>
              <w:t>Zadłużenie gospodarstw domowych a dynamika wydatków konsumpcyjnych w krajach OECD po wybuchu kryzysu finansowego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, Kwartalnik Kolegium Ekonomiczno-Społecznego Studia i Prace, 1(1), s. 187–205.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Bolibok, P. (2022), </w:t>
            </w: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pl-PL" w:eastAsia="en-US" w:bidi="ar-SA"/>
              </w:rPr>
              <w:t>Zadłużenie gospodarstw domowych w czasie pandemii COVID</w:t>
            </w:r>
            <w:r>
              <w:rPr>
                <w:rFonts w:eastAsia="Calibri" w:cs="Cambria Math" w:ascii="Cambria Math" w:hAnsi="Cambria Math"/>
                <w:i/>
                <w:iCs/>
                <w:kern w:val="0"/>
                <w:sz w:val="22"/>
                <w:szCs w:val="22"/>
                <w:lang w:val="pl-PL" w:eastAsia="en-US" w:bidi="ar-SA"/>
              </w:rPr>
              <w:noBreakHyphen/>
            </w: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pl-PL" w:eastAsia="en-US" w:bidi="ar-SA"/>
              </w:rPr>
              <w:t xml:space="preserve">19 </w:t>
            </w:r>
            <w:r>
              <w:rPr>
                <w:rFonts w:eastAsia="Calibri" w:cs="Calibri"/>
                <w:i/>
                <w:iCs/>
                <w:kern w:val="0"/>
                <w:sz w:val="22"/>
                <w:szCs w:val="22"/>
                <w:lang w:val="pl-PL" w:eastAsia="en-US" w:bidi="ar-SA"/>
              </w:rPr>
              <w:t>–</w:t>
            </w: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pl-PL" w:eastAsia="en-US" w:bidi="ar-SA"/>
              </w:rPr>
              <w:t xml:space="preserve"> perspektywa mi</w:t>
            </w:r>
            <w:r>
              <w:rPr>
                <w:rFonts w:eastAsia="Calibri" w:cs="Calibri"/>
                <w:i/>
                <w:iCs/>
                <w:kern w:val="0"/>
                <w:sz w:val="22"/>
                <w:szCs w:val="22"/>
                <w:lang w:val="pl-PL" w:eastAsia="en-US" w:bidi="ar-SA"/>
              </w:rPr>
              <w:t>ę</w:t>
            </w: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pl-PL" w:eastAsia="en-US" w:bidi="ar-SA"/>
              </w:rPr>
              <w:t>dzynarodowa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, w: K. Waliszewski (red.), Finanse osobiste, PAN, Warszawa, s. 325</w:t>
            </w:r>
            <w:r>
              <w:rPr>
                <w:rFonts w:eastAsia="Calibri" w:cs="Calibri"/>
                <w:kern w:val="0"/>
                <w:sz w:val="22"/>
                <w:szCs w:val="22"/>
                <w:lang w:val="pl-PL" w:eastAsia="en-US" w:bidi="ar-SA"/>
              </w:rPr>
              <w:t>–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344.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contextualSpacing/>
              <w:jc w:val="left"/>
              <w:rPr>
                <w:lang w:val="en-US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Kata, R., Kawa, M. (2023), </w:t>
            </w: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pl-PL" w:eastAsia="en-US" w:bidi="ar-SA"/>
              </w:rPr>
              <w:t>Skala i determinanty zmienności dochodów gospodarstw domowych w Polsce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, Optimum. 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Economic Studies, 4(114), s. 49–65.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contextualSpacing/>
              <w:jc w:val="left"/>
              <w:rPr>
                <w:lang w:val="en-US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 xml:space="preserve">Kotlińska, J. (2020), </w:t>
            </w: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en-US" w:eastAsia="en-US" w:bidi="ar-SA"/>
              </w:rPr>
              <w:t>Household Consumption and VAT Revenue in Poland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 xml:space="preserve">, European Research 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contextualSpacing/>
              <w:jc w:val="left"/>
              <w:rPr>
                <w:lang w:val="en-US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Studies Journal, Vol. XXIII Special Issue 2, pp. 580-605.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Kotlińska, J., Błasiak Z.A., Kuśpit J., Kotliński G. (2024), </w:t>
            </w: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pl-PL" w:eastAsia="en-US" w:bidi="ar-SA"/>
              </w:rPr>
              <w:t>Postawy ostrożnościowe gospodarstw domowych w podejmowaniu decyzji finansowych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, Bank i Kredyt, 55(1), 75-98.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Kotlińska, J., Kuśpit J., Błasiak Z.A., Kotliński G. (2023), </w:t>
            </w: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pl-PL" w:eastAsia="en-US" w:bidi="ar-SA"/>
              </w:rPr>
              <w:t>The household as a learning organization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, Polityka Społeczna, nr 1(19), s. 45-56.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Patrzałek, W. (2012), </w:t>
            </w: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pl-PL" w:eastAsia="en-US" w:bidi="ar-SA"/>
              </w:rPr>
              <w:t>Społeczne i ekonomiczne determinanty zachowań gospodarstw domowych na tle współczesnego kryzysu ekonomicznego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, Ekonomista, nr 3, s. 311–329.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Waliszewski, K. (2014), </w:t>
            </w: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pl-PL" w:eastAsia="en-US" w:bidi="ar-SA"/>
              </w:rPr>
              <w:t>Planowanie finansów osobistych z udziałem doradców finansowych – znaczenie dla gospodarstw domowych i gospodarki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, Annales. Etyka w życiu gospodarczym, 17(1), s. 191–204.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Waliszewski, K. (2011), </w:t>
            </w: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pl-PL" w:eastAsia="en-US" w:bidi="ar-SA"/>
              </w:rPr>
              <w:t>Rola doradców finansowych w zarządzaniu finansami gospodarstw domowych w Polsce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, Zarządzanie i Finanse, nr 9, s. 123–136.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Literatura uzupełniająca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Raporty GUS i NBP dotyczące sytuacji gospodarstw domowych.</w:t>
            </w:r>
          </w:p>
        </w:tc>
      </w:tr>
    </w:tbl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mbria Math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>
        <w:i/>
        <w:i/>
      </w:rPr>
    </w:pPr>
    <w:r>
      <w:rPr>
        <w:i/>
      </w:rPr>
      <w:t>Załącznik nr 5 do dokumentacji programowej</w:t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atory" w:customStyle="1">
    <w:name w:val="tabulatory"/>
    <w:basedOn w:val="DefaultParagraphFont"/>
    <w:qFormat/>
    <w:rsid w:val="00d406f6"/>
    <w:rPr/>
  </w:style>
  <w:style w:type="character" w:styleId="Czeinternetowe">
    <w:name w:val="Hyperlink"/>
    <w:basedOn w:val="DefaultParagraphFont"/>
    <w:uiPriority w:val="99"/>
    <w:unhideWhenUsed/>
    <w:rsid w:val="00d406f6"/>
    <w:rPr>
      <w:color w:val="0000FF"/>
      <w:u w:val="single"/>
    </w:rPr>
  </w:style>
  <w:style w:type="character" w:styleId="Access" w:customStyle="1">
    <w:name w:val="access"/>
    <w:basedOn w:val="DefaultParagraphFont"/>
    <w:qFormat/>
    <w:rsid w:val="003c65da"/>
    <w:rPr/>
  </w:style>
  <w:style w:type="character" w:styleId="Luchili" w:customStyle="1">
    <w:name w:val="luc_hili"/>
    <w:basedOn w:val="DefaultParagraphFont"/>
    <w:qFormat/>
    <w:rsid w:val="001a5d37"/>
    <w:rPr/>
  </w:style>
  <w:style w:type="character" w:styleId="NagwekZnak" w:customStyle="1">
    <w:name w:val="Nagłówek Znak"/>
    <w:basedOn w:val="DefaultParagraphFont"/>
    <w:uiPriority w:val="99"/>
    <w:qFormat/>
    <w:rsid w:val="00b04272"/>
    <w:rPr/>
  </w:style>
  <w:style w:type="character" w:styleId="StopkaZnak" w:customStyle="1">
    <w:name w:val="Stopka Znak"/>
    <w:basedOn w:val="DefaultParagraphFont"/>
    <w:uiPriority w:val="99"/>
    <w:qFormat/>
    <w:rsid w:val="00b04272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04272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Western" w:customStyle="1">
    <w:name w:val="western"/>
    <w:basedOn w:val="Normal"/>
    <w:qFormat/>
    <w:rsid w:val="007d0038"/>
    <w:pPr>
      <w:spacing w:lineRule="atLeast" w:line="102" w:beforeAutospacing="1" w:after="119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7d0038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d27ddc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 w:customStyle="1">
    <w:name w:val="Default"/>
    <w:qFormat/>
    <w:rsid w:val="007841b3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0427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32e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25A3E-D390-4F42-A936-2A4EF37E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LibreOffice/7.5.6.2$Windows_X86_64 LibreOffice_project/f654817fb68d6d4600d7d2f6b647e47729f55f15</Application>
  <AppVersion>15.0000</AppVersion>
  <Pages>5</Pages>
  <Words>1063</Words>
  <Characters>7170</Characters>
  <CharactersWithSpaces>8033</CharactersWithSpaces>
  <Paragraphs>173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2026-01-13T12:05:00Z</dcterms:created>
  <dc:creator>Anna Łukasiewicz</dc:creator>
  <dc:description/>
  <dc:language>pl-PL</dc:language>
  <cp:lastModifiedBy>Katarzyna Zielińska - Król</cp:lastModifiedBy>
  <cp:lastPrinted>2022-09-26T11:18:00Z</cp:lastPrinted>
  <dcterms:modified xsi:type="dcterms:W3CDTF">2026-01-13T12:05:00Z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