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2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 xml:space="preserve">KARTA PRZEDMIOTU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4"/>
        <w:gridCol w:w="4517"/>
      </w:tblGrid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Elementy prawa 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>Elements of the law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ISMiR – Interdyscyplinarne Studia nad Małżeństwem i Rodziną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Stacjonarne </w:t>
            </w:r>
            <w:r>
              <w:rPr>
                <w:rFonts w:eastAsia="Calibri" w:cs="Calibri" w:ascii="Calibri" w:hAnsi="Calibri"/>
                <w:kern w:val="0"/>
                <w:sz w:val="22"/>
                <w:szCs w:val="22"/>
                <w:lang w:val="pl-PL" w:eastAsia="en-US" w:bidi="ar-SA"/>
              </w:rPr>
              <w:t>- hybrydowe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Nauki prawne </w:t>
            </w:r>
          </w:p>
        </w:tc>
      </w:tr>
      <w:tr>
        <w:trPr/>
        <w:tc>
          <w:tcPr>
            <w:tcW w:w="4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8"/>
      </w:tblGrid>
      <w:tr>
        <w:trPr/>
        <w:tc>
          <w:tcPr>
            <w:tcW w:w="4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Dr Agnieszka Romanko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Times New Roman" w:ascii="Calibri" w:hAnsi="Calibri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 1: znajomość ustroju prawnego Rzeczypospolitej Polskiej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C 1: zapoznanie z obowiązującymi źródłami prawa Rzeczypospolitej Polskiej; gałęziami prawa i podstawowymi instytucjami prawnymi w porządku krajowym 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C 2: zastosowanie praktyczne poznanych norm prawnych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C 3: umiejętne odnajdywanie i posługiwanie się źródłami prawa powszechnie obowiązującego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wymienia i charakteryzuje źródła prawa powszechnie obowiązującego, zwłaszcza z zakresu małżeństwa i rodziny, oraz rozumie ekonomiczno-finansowe zasady funkcjonowania gospodarstw domowych.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P7U_W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analizuje prawne i ekonomiczne uwarunkowania funkcjonowania rodziny, a także uzasadnia zarządzanie finansami gospodarstwa domowego.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P7U_U1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Absolwent wyraża chęci do rozwiązywania problemów poznawczych i praktycznych dotyczących małżeństwa i rodziny.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highlight w:val="yellow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P7U_K1</w:t>
            </w:r>
          </w:p>
        </w:tc>
      </w:tr>
    </w:tbl>
    <w:p>
      <w:pPr>
        <w:pStyle w:val="Normal"/>
        <w:spacing w:lineRule="auto" w:line="276" w:before="0" w:after="200"/>
        <w:ind w:left="1080" w:hanging="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Podstawy prawoznawstwa i system prawa w Rzeczypospolitej Polskiej – źródła prawa, hierarchia aktów normatywnych, gałęzie prawa, podstawowe zasady wykładni prawa.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Prawo cywilne – podstawowe instytucje i ich znaczenie w życiu rodzinnym – zdolność prawna i zdolność do czynności prawnych, pełnomocnictwa, umowy, odpowiedzialność cywilna.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Prawo pracy – ochrona rodziny i pracowników opiekujących się dziećmi – urlopy macierzyńskie i ojcowskie, ochrona stosunku pracy, elastyczne formy zatrudnienia.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Prawo administracyjne – funkcjonowanie instytucji wspierających rodzinę – zadania jednostek samorządu terytorialnego i instytucji pomocy społecznej w zakresie polityki rodzinnej.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Prawo karne – ochrona dóbr osobistych i przeciwdziałanie przemocy w rodzinie – przestępstwa przeciwko rodzinie i opiece, procedura Niebieskiej Karty, środki ochrony prawnej.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Prawa dziecka i prawa człowieka w rodzinie – dokumenty krajowe i międzynarodowe (Konwencja o prawach dziecka, Karta praw podstawowych UE); prawa i obowiązki rodziców oraz dzieci.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Podstawy postępowania cywilnego i karnego w sprawach rodzinnych – tryby postępowania, udział asystenta rodziny, rola mediacji i sądów rodzinnych.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Wykład konwencjonalny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Test pisemny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Sprawdzony test pisemny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K_U02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Prezentacja materiałów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Prezentacja projektu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Projekt wraz z kartą oceny prezentacji projektu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Metoda obserwacji uczestniczącej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Sprawozdanie pisemne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Sprawdzone sprawozdanie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ind w:left="1080" w:hanging="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Kryteria oceny, wagi…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>pozytywną (dostateczną)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 otrzymuje Student, jeżeli: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podstawowe (50-69%) terminy z zakresu podstaw prawa Rzeczypospolitej Polskiej oraz potrafi wskazać podstawowe źródła dotyczące przedmiotu;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potrafi wykorzystywać wiedzę z zakresu podstawowych gałęzi prawa.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 xml:space="preserve">dobrą 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otrzymuje Student, jeżeli: 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większość terminów (70-89%) z zakresu podstaw prawa Rzeczypospolitej Polskiej oraz potrafi wskazać źródła dotyczące przedmiotu;</w:t>
      </w:r>
    </w:p>
    <w:p>
      <w:pPr>
        <w:pStyle w:val="Normal"/>
        <w:numPr>
          <w:ilvl w:val="0"/>
          <w:numId w:val="3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potrafi wykorzystywać wiedzę z zakresu większości gałęzi prawa. 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Ocenę </w:t>
      </w:r>
      <w:r>
        <w:rPr>
          <w:rFonts w:eastAsia="Calibri" w:cs="Arial" w:ascii="Calibri" w:hAnsi="Calibri"/>
          <w:b/>
          <w:bCs/>
          <w:kern w:val="0"/>
          <w:sz w:val="22"/>
          <w:szCs w:val="22"/>
          <w14:ligatures w14:val="none"/>
        </w:rPr>
        <w:t>bardzo dobrą</w:t>
      </w: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 otrzymuje Student, jeżeli: </w:t>
      </w:r>
    </w:p>
    <w:p>
      <w:pPr>
        <w:pStyle w:val="Normal"/>
        <w:numPr>
          <w:ilvl w:val="0"/>
          <w:numId w:val="4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>zna wymagane terminy (90-100%)z zakresu podstaw prawa Rzeczypospolitej Polskiej oraz potrafi wskazać wszystkie źródła dotyczące przedmiotu;</w:t>
      </w:r>
    </w:p>
    <w:p>
      <w:pPr>
        <w:pStyle w:val="Normal"/>
        <w:numPr>
          <w:ilvl w:val="0"/>
          <w:numId w:val="4"/>
        </w:numPr>
        <w:spacing w:lineRule="auto" w:line="276" w:before="0" w:after="200"/>
        <w:contextualSpacing/>
        <w:rPr>
          <w:rFonts w:ascii="Calibri" w:hAnsi="Calibri" w:eastAsia="Calibri" w:cs="Arial"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kern w:val="0"/>
          <w:sz w:val="22"/>
          <w:szCs w:val="22"/>
          <w14:ligatures w14:val="none"/>
        </w:rPr>
        <w:t xml:space="preserve">potrafi wykorzystywać wiedzę z zakresu wszystkich gałęzi prawa Rzeczypospolitej Polskiej, potrafi czynnie i kreatywnie pracować w zespole, a nawet mu przewodniczyć i szukać najbardziej optymalnych rozwiązań dla zadanych kwestii oraz potrafi samodzielnie rozwiązywać kazusy. </w:t>
      </w:r>
    </w:p>
    <w:p>
      <w:pPr>
        <w:pStyle w:val="Normal"/>
        <w:spacing w:lineRule="auto" w:line="276" w:before="0" w:after="200"/>
        <w:rPr>
          <w:rFonts w:ascii="Calibri" w:hAnsi="Calibri" w:eastAsia="Calibri" w:cs="Arial"/>
          <w:bCs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bCs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Cs/>
          <w:kern w:val="0"/>
          <w:sz w:val="22"/>
          <w:szCs w:val="22"/>
          <w14:ligatures w14:val="none"/>
        </w:rPr>
      </w:pPr>
      <w:r>
        <w:rPr>
          <w:rFonts w:eastAsia="Calibri" w:cs="Arial" w:ascii="Calibri" w:hAnsi="Calibri"/>
          <w:bCs/>
          <w:kern w:val="0"/>
          <w:sz w:val="22"/>
          <w:szCs w:val="22"/>
          <w14:ligatures w14:val="none"/>
        </w:rPr>
        <w:t xml:space="preserve">Sposób weryfikacji: test pisemny, sprawozdanie pisemne, prezentacja projektu 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Calibri" w:hAnsi="Calibri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  <w:b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35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 xml:space="preserve">F. Prusak, M. Sitarz, </w:t>
            </w:r>
            <w:r>
              <w:rPr>
                <w:rFonts w:eastAsia="Calibri" w:cs="Times New Roman" w:ascii="Calibri" w:hAnsi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Propedeutyka prawa. Zagadnienia podstawowe</w:t>
            </w: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, Wyższa Szkoła Handlu i Prawa im. Ryszarda Łazarskiego, Warszawa 2000.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>
          <w:trHeight w:val="58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714" w:right="0" w:hanging="357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 xml:space="preserve">Z. Muras, </w:t>
            </w:r>
            <w:r>
              <w:rPr>
                <w:rFonts w:eastAsia="Calibri" w:cs="Times New Roman" w:ascii="Calibri" w:hAnsi="Calibri"/>
                <w:bCs/>
                <w:i/>
                <w:iCs/>
                <w:kern w:val="0"/>
                <w:sz w:val="22"/>
                <w:szCs w:val="22"/>
                <w:lang w:val="pl-PL" w:eastAsia="en-US" w:bidi="ar-SA"/>
              </w:rPr>
              <w:t>Podstawy prawa</w:t>
            </w: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, C.H. Beck, Warszawa 2019.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pacing w:lineRule="auto" w:line="240" w:before="0" w:after="0"/>
              <w:ind w:left="714" w:right="0" w:hanging="357"/>
              <w:contextualSpacing/>
              <w:jc w:val="left"/>
              <w:rPr>
                <w:rFonts w:ascii="Calibri" w:hAnsi="Calibri" w:eastAsia="Calibri" w:cs="Times New Roman"/>
                <w:bCs/>
              </w:rPr>
            </w:pP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 xml:space="preserve">T. Chauvin, T. Stawecki, P. Winczorek, </w:t>
            </w:r>
            <w:r>
              <w:rPr>
                <w:rFonts w:eastAsia="Calibri" w:cs="Times New Roman" w:ascii="Calibri" w:hAnsi="Calibri"/>
                <w:bCs/>
                <w:i/>
                <w:iCs/>
                <w:kern w:val="0"/>
                <w:sz w:val="22"/>
                <w:szCs w:val="22"/>
                <w:lang w:val="pl-PL" w:eastAsia="en-US" w:bidi="ar-SA"/>
              </w:rPr>
              <w:t>Wstęp do prawoznawstwa</w:t>
            </w:r>
            <w:r>
              <w:rPr>
                <w:rFonts w:eastAsia="Calibri" w:cs="Times New Roman" w:ascii="Calibri" w:hAnsi="Calibri"/>
                <w:bCs/>
                <w:kern w:val="0"/>
                <w:sz w:val="22"/>
                <w:szCs w:val="22"/>
                <w:lang w:val="pl-PL" w:eastAsia="en-US" w:bidi="ar-SA"/>
              </w:rPr>
              <w:t>, C.H. Beck, Warszawa 2025.</w:t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Times New Roman"/>
          <w:b/>
          <w:kern w:val="0"/>
          <w:sz w:val="22"/>
          <w:szCs w:val="22"/>
          <w14:ligatures w14:val="none"/>
        </w:rPr>
      </w:pPr>
      <w:r>
        <w:rPr>
          <w:rFonts w:eastAsia="Calibri" w:cs="Times New Roman" w:ascii="Calibri" w:hAnsi="Calibri"/>
          <w:b/>
          <w:kern w:val="0"/>
          <w:sz w:val="22"/>
          <w:szCs w:val="22"/>
          <w14:ligatures w14:val="non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1b61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0c1b6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c1b6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c1b6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c1b6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c1b6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c1b6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c1b6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0c1b6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c1b6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c1b6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c1b6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c1b6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c1b61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0c1b61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0c1b61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0c1b61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0c1b61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0c1b61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0c1b6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c1b6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c1b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1b61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c1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61"/>
    <w:rPr>
      <w:b/>
      <w:bCs/>
      <w:smallCaps/>
      <w:color w:val="0F4761" w:themeColor="accent1" w:themeShade="bf"/>
      <w:spacing w:val="5"/>
    </w:rPr>
  </w:style>
  <w:style w:type="character" w:styleId="Czeinternetowe">
    <w:name w:val="Hyperlink"/>
    <w:basedOn w:val="DefaultParagraphFont"/>
    <w:uiPriority w:val="99"/>
    <w:unhideWhenUsed/>
    <w:rsid w:val="00137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799c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93d5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993d5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93d56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0c1b6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0c1b6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c1b6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6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c1b6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93d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93d5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c1b6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LibreOffice/7.5.6.2$Windows_X86_64 LibreOffice_project/f654817fb68d6d4600d7d2f6b647e47729f55f15</Application>
  <AppVersion>15.0000</AppVersion>
  <Pages>5</Pages>
  <Words>621</Words>
  <Characters>4395</Characters>
  <CharactersWithSpaces>4903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2025-11-17T09:51:00Z</dcterms:created>
  <dc:creator>Agnieszka Romanko</dc:creator>
  <dc:description/>
  <dc:language>pl-PL</dc:language>
  <cp:lastModifiedBy>Katarzyna Zielińska - Król</cp:lastModifiedBy>
  <dcterms:modified xsi:type="dcterms:W3CDTF">2025-11-17T09:51:00Z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