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</w:rPr>
      </w:pPr>
      <w:r>
        <w:rPr>
          <w:bCs/>
        </w:rPr>
        <w:t>Cykl kształcenia od roku akademickiego:</w:t>
      </w:r>
      <w:r>
        <w:rPr>
          <w:b/>
        </w:rPr>
        <w:t xml:space="preserve"> 2024/2025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Gerontologia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Gerontology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I stopień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Dr hab. Urszula Dudziak, prof. KUL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4"/>
        <w:gridCol w:w="2302"/>
      </w:tblGrid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15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III</w:t>
            </w:r>
          </w:p>
        </w:tc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4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3"/>
        <w:gridCol w:w="6978"/>
      </w:tblGrid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Wiedza z zakresu psychologii rozwojowej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Pozyskanie wiedzy na temat starzenia się człowieka, jego potrzeb i możliwości, sposobów postępowania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Pozyskanie umiejętności przedstawienia sytuacji starzejącej się osoby i udzielenia prawidłowej odpowiedzi na jej potrzeby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Kształtowanie pozytywnych postaw wobec osób w wieku senioralnym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8"/>
        <w:gridCol w:w="5953"/>
        <w:gridCol w:w="2160"/>
      </w:tblGrid>
      <w:tr>
        <w:trPr/>
        <w:tc>
          <w:tcPr>
            <w:tcW w:w="10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21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W_01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wymienia symptomy starzenia się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K_W 10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W_02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charakteryzuje potrzeby i możliwości osób starszych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K_W 10; K_W05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W_03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wskazuje właściwe sposoby postępowania wobec seniora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K_W 07</w:t>
            </w:r>
          </w:p>
        </w:tc>
      </w:tr>
      <w:tr>
        <w:trPr/>
        <w:tc>
          <w:tcPr>
            <w:tcW w:w="921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U_01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potrafi przedstawić sytuację starzejącego się człowieka w aspekcie biomedycznym, psychospołecznym i duchowym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K_U04; K_U05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U_02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zauważa potrzeby osób starszych, chorych i niedołężnych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K_U01: K_U03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U_03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prawidłowo odpowiada na dostrzeżone problemy osób będących w starszym wieku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K_U07</w:t>
            </w:r>
          </w:p>
        </w:tc>
      </w:tr>
      <w:tr>
        <w:trPr/>
        <w:tc>
          <w:tcPr>
            <w:tcW w:w="921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K_01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Student umie wyrazić sprzeciw wobec niewłaściwego traktowania ludzi w podeszłym wieku; przejawia pozytywne postawy wobec osób starszych i samotnych potrzebujących pomocy; jest gotów do nawiązania kontaktu pomocnego w adekwatnej formie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K_K02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Gerontologia a geriatria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Polskie Towarzystwo Gerontologiczne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Starzenie się, objawy i postawy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Choroby przewlekłe i niedołęstwo, formy opieki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Podstawy żywienia człowieka w starszym wieku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Psychologiczne aspekty chorób serca u osób w starszym wieku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Kompensacyjna aktywność mózgu osób starszych (GP 2018, 26, 54-58)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Społeczne uwarunkowania jakości życia osób u kresu życia (GP 2017, 25, 254-260)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Aktywność osób starszych jako szansa na pomyślne starzenie się (GP 2007, 4, 116-118)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Aktywność fizyczna osób z dyskopatią (GP 2017, 25, 184-190)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Kościół wobec starości (J. Dziedzic) i wykład o starości (W. Półtawska).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Etapy umierania, wskazówki dla najbliższych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Doświadczenia bliskie śmierci</w:t>
            </w:r>
          </w:p>
          <w:p>
            <w:pPr>
              <w:pStyle w:val="ListParagraph"/>
              <w:widowControl/>
              <w:spacing w:lineRule="auto" w:line="240" w:before="0" w:after="0"/>
              <w:contextualSpacing w:val="false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Metody realizacji i weryfikacji efektów uczenia się  </w:t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3"/>
          <w:numId w:val="1"/>
        </w:numPr>
        <w:ind w:left="426" w:hanging="360"/>
        <w:rPr/>
      </w:pPr>
      <w:r>
        <w:rPr/>
        <w:t>AKTYWIZACJA: krzyżówka, rozmowa, „burza mózgów” 5-10 min.</w:t>
      </w:r>
    </w:p>
    <w:p>
      <w:pPr>
        <w:pStyle w:val="ListParagraph"/>
        <w:numPr>
          <w:ilvl w:val="3"/>
          <w:numId w:val="1"/>
        </w:numPr>
        <w:ind w:left="426" w:hanging="360"/>
        <w:rPr/>
      </w:pPr>
      <w:r>
        <w:rPr/>
        <w:t xml:space="preserve">PREZENTACJA lub odczytanie pracy pisemnej 15-20min.,     </w:t>
      </w:r>
    </w:p>
    <w:p>
      <w:pPr>
        <w:pStyle w:val="ListParagraph"/>
        <w:numPr>
          <w:ilvl w:val="3"/>
          <w:numId w:val="1"/>
        </w:numPr>
        <w:ind w:left="426" w:hanging="360"/>
        <w:rPr/>
      </w:pPr>
      <w:r>
        <w:rPr/>
        <w:t>WERYFIKACJA – pytania i odpowiedzi 10-15 min</w:t>
      </w:r>
    </w:p>
    <w:p>
      <w:pPr>
        <w:pStyle w:val="ListParagraph"/>
        <w:ind w:left="426" w:hanging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2695"/>
        <w:gridCol w:w="2834"/>
        <w:gridCol w:w="2583"/>
      </w:tblGrid>
      <w:tr>
        <w:trPr/>
        <w:tc>
          <w:tcPr>
            <w:tcW w:w="10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W_01-03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Wykład z prezentacją/ odczytanie pracy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Test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Punkty z testu/pracy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i ocena końcowa na protokole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U_01-03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Rozmowa kierowana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Ocena aktywności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Lista obecności , ocena +/-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Burza mózgów”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Ocena aktywności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Lista obecności , ocena +/-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rPr/>
      </w:pPr>
      <w:r>
        <w:rPr/>
        <w:t xml:space="preserve">Obecność i aktywność podczas zajęć (20% oceny), prawidłowo pod względem merytorycznym i formalnym wykonana i umiejętnie przedstawiona prezentacja zagadnienia lub praca pisemna „Moje doświadczenia spotkania z osobą starszą” (50%), przygotowanie krzyżówki z terminami dotyczącymi gerontologii (30%).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Ocena BARDZO DOBRA</w:t>
      </w:r>
    </w:p>
    <w:p>
      <w:pPr>
        <w:pStyle w:val="Normal"/>
        <w:rPr/>
      </w:pPr>
      <w:r>
        <w:rPr/>
        <w:t xml:space="preserve">Student nie ma nieusprawiedliwionej nieobecności na zajęciach, jest podczas nich szczególnie aktywny i udziela prawidłowych, adekwatnych do tematu i wyczerpujących wypowiedzi. Przedstawienie jego pracy (o spotkaniu z osobą starszą) i krzyżówki z gerontologii w sposób ciekawy </w:t>
        <w:br/>
        <w:t xml:space="preserve">i angażujący słuchaczy. </w:t>
      </w:r>
    </w:p>
    <w:p>
      <w:pPr>
        <w:pStyle w:val="Normal"/>
        <w:rPr/>
      </w:pPr>
      <w:r>
        <w:rPr/>
        <w:t>Ocena DOBRA</w:t>
      </w:r>
    </w:p>
    <w:p>
      <w:pPr>
        <w:pStyle w:val="Normal"/>
        <w:rPr/>
      </w:pPr>
      <w:r>
        <w:rPr/>
        <w:t xml:space="preserve">Student opuszcza nie więcej niż 2 zajęcia. Jest podczas konwersatorium aktywny i udziela poprawnych odpowiedzi na zadawane pytania. Jego praca i krzyżówka zawiera niewielkie błędy w formie lub niedokładności w treści i jest przedstawiona w sposób poprawny, ale mało ciekawy dla słuchaczy. </w:t>
      </w:r>
    </w:p>
    <w:p>
      <w:pPr>
        <w:pStyle w:val="Normal"/>
        <w:rPr/>
      </w:pPr>
      <w:r>
        <w:rPr/>
        <w:t>Ocena DOSTATECZNA</w:t>
      </w:r>
    </w:p>
    <w:p>
      <w:pPr>
        <w:pStyle w:val="Normal"/>
        <w:rPr/>
      </w:pPr>
      <w:r>
        <w:rPr/>
        <w:t xml:space="preserve">Student ma 3 nieusprawiedliwione nieobecności. Na pozostałych był mało aktywny i nie zawsze udzielał poprawnych odpowiedzi. Jego prezentacja zawiera błędy w formie lub treści i jest przedstawiona mało samodzielnie, ze znacznym „kurczowym” trzymaniem się tekstu. </w:t>
      </w:r>
    </w:p>
    <w:p>
      <w:pPr>
        <w:pStyle w:val="Normal"/>
        <w:rPr/>
      </w:pPr>
      <w:r>
        <w:rPr/>
        <w:t>Ocena NIEDOSTATECZNA</w:t>
      </w:r>
    </w:p>
    <w:p>
      <w:pPr>
        <w:pStyle w:val="Normal"/>
        <w:rPr/>
      </w:pPr>
      <w:r>
        <w:rPr/>
        <w:t xml:space="preserve">Student wielokrotnie opuszczał zajęcia bez usprawiedliwienia swej nieobecności. Nie wypowiadał się w czasie konwersatorium lub zabierał głos niechętnie, niewyczerpująco, „półsłowkami” lub błędnie. Nie przygotował pracy i krzyżówki lub wykonał je i przedstawił niedbale, niedokładnie, z wieloma błędami. 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Liczba godzin kontaktowych z nauczycielem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l-PL" w:eastAsia="en-US" w:bidi="ar-SA"/>
              </w:rPr>
              <w:t>85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 w:val="false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Borys B.,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Psychologiczne aspekty chorób serca u osób w starszym wieku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. W: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 xml:space="preserve">Kardiologia starszego wieku, 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red. G. Świątecka, Gdańsk Via Medica 1997/1998, s. 475-486.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Dąbrowska E.,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 xml:space="preserve">Podstawy żywienia człowieka w starszym wieku, 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W: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 xml:space="preserve">Kardiologia starszego wieku, 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red. G. Świątecka, Gdańsk Via Medica 1997/1998, s. 433-461.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Dziedzic J.,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Kościół wobec starości. Perspektywa pastoralno teologiczna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, „Polonia Sacra 19 (2015) nr 1 (38) ∙ s. 95–113 DOI: </w:t>
            </w:r>
            <w:hyperlink r:id="rId2">
              <w:r>
                <w:rPr>
                  <w:rStyle w:val="Czeinternetowe"/>
                  <w:rFonts w:eastAsia="Calibri" w:cs=""/>
                  <w:kern w:val="0"/>
                  <w:szCs w:val="22"/>
                  <w:lang w:val="pl-PL" w:eastAsia="en-US" w:bidi="ar-SA"/>
                </w:rPr>
                <w:t>http://dx.doi.org/10.15633/ps.731</w:t>
              </w:r>
            </w:hyperlink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Kaczmarczyk M., Trafiałek E.,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 xml:space="preserve">Aktywizacja osób w starszym wieku jako szansa na pomyślne starzenie, 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„Gerontologia Polska” 2007,  4, 116-118.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hd w:val="clear" w:color="auto" w:fill="FFFFFF"/>
              <w:spacing w:lineRule="auto" w:line="240" w:before="0" w:after="24"/>
              <w:contextualSpacing/>
              <w:jc w:val="left"/>
              <w:rPr>
                <w:rFonts w:cs="Arial"/>
                <w:i/>
                <w:i/>
                <w:color w:val="202122"/>
              </w:rPr>
            </w:pPr>
            <w:r>
              <w:rPr>
                <w:rFonts w:eastAsia="Calibri" w:cs="Arial"/>
                <w:color w:val="202122"/>
                <w:kern w:val="0"/>
                <w:szCs w:val="22"/>
                <w:lang w:val="pl-PL" w:eastAsia="en-US" w:bidi="ar-SA"/>
              </w:rPr>
              <w:t xml:space="preserve">Tobiasz-Adamczyk B. </w:t>
            </w:r>
            <w:r>
              <w:rPr>
                <w:rFonts w:eastAsia="Calibri" w:cs="Arial"/>
                <w:i/>
                <w:color w:val="202122"/>
                <w:kern w:val="0"/>
                <w:szCs w:val="22"/>
                <w:lang w:val="pl-PL" w:eastAsia="en-US" w:bidi="ar-SA"/>
              </w:rPr>
              <w:t>Społeczne uwarunkowania jakości życia osób starszych u kresu życia,</w:t>
            </w:r>
            <w:r>
              <w:rPr>
                <w:rFonts w:eastAsia="Calibri" w:cs="Arial"/>
                <w:color w:val="202122"/>
                <w:kern w:val="0"/>
                <w:szCs w:val="22"/>
                <w:lang w:val="pl-PL" w:eastAsia="en-US" w:bidi="ar-SA"/>
              </w:rPr>
              <w:t xml:space="preserve"> „Gerontologia Polska” 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2017, 25, 254-260.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Wolanin M., Oleszczuk J., Sapuła R., Topolski A., Wolanin A.,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Analiza aktywności fizycznej osób po 60 roku życia z dyskopatią lędźwiowego odcinka kręgosłupa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. „Gerontologia Polska” 2017; 25; 184-190.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Arial"/>
                <w:i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>Wybrane problemy osób starszych</w:t>
            </w:r>
            <w:r>
              <w:rPr>
                <w:rFonts w:eastAsia="Calibri" w:cs="Arial"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>, red. Agnieszka Nowicka. wyd. II, Kraków Oficyna Wydawnicza „Impuls”2008.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Arial"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 xml:space="preserve">Zając-Lamparska L.,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Kompensacyjna aktywność mózgu osób starszych</w:t>
            </w: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 , „Gerontologia Polska” 2018, 26, 54-58.</w:t>
            </w:r>
          </w:p>
          <w:p>
            <w:pPr>
              <w:pStyle w:val="ListParagraph"/>
              <w:widowControl/>
              <w:shd w:val="clear" w:color="auto" w:fill="FFFFFF"/>
              <w:spacing w:lineRule="auto" w:line="240" w:beforeAutospacing="1" w:after="24"/>
              <w:ind w:left="1080" w:right="0" w:hanging="0"/>
              <w:contextualSpacing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Autospacing="1" w:after="24"/>
              <w:ind w:left="384" w:right="0" w:hanging="360"/>
              <w:contextualSpacing/>
              <w:jc w:val="left"/>
              <w:rPr>
                <w:rFonts w:eastAsia="Times New Roman" w:cs="Arial"/>
                <w:color w:val="202122"/>
                <w:lang w:eastAsia="pl-PL"/>
              </w:rPr>
            </w:pPr>
            <w:r>
              <w:rPr>
                <w:rFonts w:eastAsia="Calibri" w:cs="Arial"/>
                <w:i/>
                <w:color w:val="202122"/>
                <w:kern w:val="0"/>
                <w:szCs w:val="22"/>
                <w:lang w:val="pl-PL" w:eastAsia="en-US" w:bidi="ar-SA"/>
              </w:rPr>
              <w:t xml:space="preserve">Encyklopedia starości, starzenia się i niepełnosprawności </w:t>
            </w:r>
            <w:r>
              <w:rPr>
                <w:rFonts w:eastAsia="Calibri" w:cs="Arial"/>
                <w:color w:val="202122"/>
                <w:kern w:val="0"/>
                <w:szCs w:val="22"/>
                <w:lang w:val="pl-PL" w:eastAsia="en-US" w:bidi="ar-SA"/>
              </w:rPr>
              <w:t>t. 1, red. Zych Adam A., Katowice Thesaurus Silesiae 2017.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24"/>
              <w:ind w:left="384" w:right="0" w:hanging="360"/>
              <w:contextualSpacing/>
              <w:jc w:val="left"/>
              <w:rPr>
                <w:rFonts w:eastAsia="Times New Roman" w:cs="Arial"/>
                <w:color w:val="202122"/>
                <w:lang w:eastAsia="pl-PL"/>
              </w:rPr>
            </w:pPr>
            <w:r>
              <w:rPr>
                <w:rFonts w:eastAsia="Calibri" w:cs="Arial"/>
                <w:i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>Polska w obliczu starzenia się społeczeństwa. Diagnoza i program działania</w:t>
            </w:r>
            <w:r>
              <w:rPr>
                <w:rFonts w:eastAsia="Calibri" w:cs="Arial"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>, PAN, Komitet Prognoz „Polska 2000 plus”, Warszawa 2008.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24"/>
              <w:ind w:left="384" w:right="0" w:hanging="360"/>
              <w:contextualSpacing/>
              <w:jc w:val="left"/>
              <w:rPr>
                <w:rFonts w:eastAsia="Times New Roman" w:cs="Arial"/>
                <w:color w:val="202122"/>
                <w:lang w:eastAsia="pl-PL"/>
              </w:rPr>
            </w:pPr>
            <w:r>
              <w:rPr>
                <w:rFonts w:eastAsia="Calibri" w:cs="Arial"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 xml:space="preserve">Półtawska W. </w:t>
            </w:r>
            <w:r>
              <w:rPr>
                <w:rFonts w:eastAsia="Calibri" w:cs="Arial"/>
                <w:i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 xml:space="preserve">Wykład o starości, </w:t>
            </w:r>
            <w:r>
              <w:rPr>
                <w:rFonts w:eastAsia="Calibri" w:cs="Arial"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 xml:space="preserve">You Toube </w:t>
            </w:r>
            <w:r>
              <w:fldChar w:fldCharType="begin"/>
            </w:r>
            <w:r>
              <w:rPr>
                <w:rStyle w:val="Czeinternetowe"/>
                <w:kern w:val="0"/>
                <w:shd w:fill="FFFFFF" w:val="clear"/>
                <w:szCs w:val="22"/>
                <w:iCs/>
                <w:rFonts w:eastAsia="Calibri" w:cs="Arial"/>
                <w:lang w:val="pl-PL" w:eastAsia="en-US" w:bidi="ar-SA"/>
              </w:rPr>
              <w:instrText xml:space="preserve"> HYPERLINK "https://mail.google.com/mail/u/1/" \l "inbox?projector=1"</w:instrText>
            </w:r>
            <w:r>
              <w:rPr>
                <w:rStyle w:val="Czeinternetowe"/>
                <w:kern w:val="0"/>
                <w:shd w:fill="FFFFFF" w:val="clear"/>
                <w:szCs w:val="22"/>
                <w:iCs/>
                <w:rFonts w:eastAsia="Calibri" w:cs="Arial"/>
                <w:lang w:val="pl-PL" w:eastAsia="en-US" w:bidi="ar-SA"/>
              </w:rPr>
              <w:fldChar w:fldCharType="separate"/>
            </w:r>
            <w:r>
              <w:rPr>
                <w:rStyle w:val="Czeinternetowe"/>
                <w:rFonts w:eastAsia="Calibri" w:cs="Arial"/>
                <w:iCs/>
                <w:kern w:val="0"/>
                <w:szCs w:val="22"/>
                <w:shd w:fill="FFFFFF" w:val="clear"/>
                <w:lang w:val="pl-PL" w:eastAsia="en-US" w:bidi="ar-SA"/>
              </w:rPr>
              <w:t>https://mail.google.com/mail/u/1/#inbox?projector=1</w:t>
            </w:r>
            <w:r>
              <w:rPr>
                <w:rStyle w:val="Czeinternetowe"/>
                <w:kern w:val="0"/>
                <w:shd w:fill="FFFFFF" w:val="clear"/>
                <w:szCs w:val="22"/>
                <w:iCs/>
                <w:rFonts w:eastAsia="Calibri" w:cs="Arial"/>
                <w:lang w:val="pl-PL" w:eastAsia="en-US" w:bidi="ar-SA"/>
              </w:rPr>
              <w:fldChar w:fldCharType="end"/>
            </w:r>
            <w:r>
              <w:rPr>
                <w:rFonts w:eastAsia="Calibri" w:cs="Arial"/>
                <w:iCs/>
                <w:color w:val="202122"/>
                <w:kern w:val="0"/>
                <w:szCs w:val="22"/>
                <w:shd w:fill="FFFFFF" w:val="clear"/>
                <w:lang w:val="pl-PL" w:eastAsia="en-US" w:bidi="ar-SA"/>
              </w:rPr>
              <w:t xml:space="preserve"> (dostęp 06.12.2023).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24"/>
              <w:ind w:left="384" w:right="0" w:hanging="360"/>
              <w:contextualSpacing/>
              <w:jc w:val="left"/>
              <w:rPr>
                <w:rFonts w:eastAsia="Times New Roman" w:cs="Arial"/>
                <w:color w:val="202122"/>
                <w:lang w:eastAsia="pl-PL"/>
              </w:rPr>
            </w:pPr>
            <w:r>
              <w:rPr>
                <w:rFonts w:eastAsia="Calibri" w:cs="Arial"/>
                <w:color w:val="202122"/>
                <w:kern w:val="0"/>
                <w:szCs w:val="22"/>
                <w:lang w:val="pl-PL" w:eastAsia="en-US" w:bidi="ar-SA"/>
              </w:rPr>
              <w:t>Zych Adam A., </w:t>
            </w:r>
            <w:r>
              <w:rPr>
                <w:rFonts w:eastAsia="Calibri" w:cs="Arial"/>
                <w:i/>
                <w:iCs/>
                <w:color w:val="202122"/>
                <w:kern w:val="0"/>
                <w:szCs w:val="22"/>
                <w:lang w:val="pl-PL" w:eastAsia="en-US" w:bidi="ar-SA"/>
              </w:rPr>
              <w:t>Przekraczając 'smugę cienia'. Szkice z gerontologii i tanatologii</w:t>
            </w:r>
            <w:r>
              <w:rPr>
                <w:rFonts w:eastAsia="Calibri" w:cs="Arial"/>
                <w:color w:val="202122"/>
                <w:kern w:val="0"/>
                <w:szCs w:val="22"/>
                <w:lang w:val="pl-PL" w:eastAsia="en-US" w:bidi="ar-SA"/>
              </w:rPr>
              <w:t>, wyd. II, Katowice Wydawnictwo Naukowe „Śląsk” 2013.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24"/>
              <w:ind w:left="384" w:right="0" w:hanging="360"/>
              <w:contextualSpacing/>
              <w:jc w:val="left"/>
              <w:rPr>
                <w:rFonts w:eastAsia="Times New Roman" w:cs="Arial"/>
                <w:color w:val="202122"/>
                <w:lang w:eastAsia="pl-PL"/>
              </w:rPr>
            </w:pPr>
            <w:r>
              <w:rPr>
                <w:rFonts w:eastAsia="Times New Roman" w:cs="Arial"/>
                <w:color w:val="202122"/>
                <w:kern w:val="0"/>
                <w:szCs w:val="22"/>
                <w:lang w:val="pl-PL" w:eastAsia="pl-PL" w:bidi="ar-SA"/>
              </w:rPr>
              <w:t>Zych Adam A., </w:t>
            </w:r>
            <w:r>
              <w:rPr>
                <w:rFonts w:eastAsia="Times New Roman" w:cs="Arial"/>
                <w:i/>
                <w:iCs/>
                <w:color w:val="202122"/>
                <w:kern w:val="0"/>
                <w:szCs w:val="22"/>
                <w:lang w:val="pl-PL" w:eastAsia="pl-PL" w:bidi="ar-SA"/>
              </w:rPr>
              <w:t>Słownik gerontologii społecznej</w:t>
            </w:r>
            <w:r>
              <w:rPr>
                <w:rFonts w:eastAsia="Times New Roman" w:cs="Arial"/>
                <w:color w:val="202122"/>
                <w:kern w:val="0"/>
                <w:szCs w:val="22"/>
                <w:lang w:val="pl-PL" w:eastAsia="pl-PL" w:bidi="ar-SA"/>
              </w:rPr>
              <w:t>, Wydawnictwo Naukowe „Żak”, Warszawa 2001.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24"/>
              <w:ind w:left="384" w:right="0" w:hanging="360"/>
              <w:jc w:val="left"/>
              <w:rPr>
                <w:rFonts w:eastAsia="Times New Roman" w:cs="Arial"/>
                <w:color w:val="202122"/>
                <w:lang w:eastAsia="pl-PL"/>
              </w:rPr>
            </w:pPr>
            <w:r>
              <w:rPr>
                <w:rFonts w:eastAsia="Times New Roman" w:cs="Arial"/>
                <w:color w:val="202122"/>
                <w:kern w:val="0"/>
                <w:sz w:val="20"/>
                <w:szCs w:val="22"/>
                <w:lang w:val="pl-PL" w:eastAsia="pl-PL" w:bidi="ar-SA"/>
              </w:rPr>
              <w:t>Zych Adam A., </w:t>
            </w:r>
            <w:r>
              <w:rPr>
                <w:rFonts w:eastAsia="Times New Roman" w:cs="Arial"/>
                <w:i/>
                <w:iCs/>
                <w:color w:val="202122"/>
                <w:kern w:val="0"/>
                <w:sz w:val="20"/>
                <w:szCs w:val="22"/>
                <w:lang w:val="pl-PL" w:eastAsia="pl-PL" w:bidi="ar-SA"/>
              </w:rPr>
              <w:t>Leksykon gerontologii</w:t>
            </w:r>
            <w:r>
              <w:rPr>
                <w:rFonts w:eastAsia="Times New Roman" w:cs="Arial"/>
                <w:color w:val="202122"/>
                <w:kern w:val="0"/>
                <w:sz w:val="20"/>
                <w:szCs w:val="22"/>
                <w:lang w:val="pl-PL" w:eastAsia="pl-PL" w:bidi="ar-SA"/>
              </w:rPr>
              <w:t>, wyd. IV, Oficyna Wydawnicza „Impuls”, Kraków 2019.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  <w:tab w:val="left" w:pos="426" w:leader="none"/>
              </w:tabs>
              <w:spacing w:lineRule="auto" w:line="240" w:before="0" w:after="0"/>
              <w:ind w:left="720" w:right="0" w:hanging="720"/>
              <w:contextualSpacing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Inne, dowolnie wybrane artykuły z czasopisma „Gerontologia Polska”.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0168489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4b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8d36e1"/>
    <w:rPr>
      <w:color w:val="0000FF" w:themeColor="hyperlink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link w:val="Stopka1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StopkaZnak1" w:customStyle="1">
    <w:name w:val="Stopka Znak1"/>
    <w:basedOn w:val="DefaultParagraphFont"/>
    <w:uiPriority w:val="99"/>
    <w:semiHidden/>
    <w:qFormat/>
    <w:rsid w:val="006111be"/>
    <w:rPr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7f4b14"/>
    <w:pPr>
      <w:spacing w:before="0" w:after="140"/>
    </w:pPr>
    <w:rPr/>
  </w:style>
  <w:style w:type="paragraph" w:styleId="Lista">
    <w:name w:val="List"/>
    <w:basedOn w:val="Tretekstu"/>
    <w:rsid w:val="007f4b14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4b14"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qFormat/>
    <w:rsid w:val="007f4b1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7f4b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uiPriority w:val="99"/>
    <w:unhideWhenUsed/>
    <w:qFormat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1" w:customStyle="1">
    <w:name w:val="Stopka1"/>
    <w:basedOn w:val="Normal"/>
    <w:link w:val="StopkaZnak"/>
    <w:uiPriority w:val="99"/>
    <w:unhideWhenUsed/>
    <w:qFormat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1"/>
    <w:uiPriority w:val="99"/>
    <w:unhideWhenUsed/>
    <w:rsid w:val="006111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x.doi.org/10.15633/ps.731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773A-57E0-4CEE-9B3A-84A4FCC9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LibreOffice/7.5.6.2$Windows_X86_64 LibreOffice_project/f654817fb68d6d4600d7d2f6b647e47729f55f15</Application>
  <AppVersion>15.0000</AppVersion>
  <DocSecurity>0</DocSecurity>
  <Pages>4</Pages>
  <Words>925</Words>
  <Characters>6008</Characters>
  <CharactersWithSpaces>6773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2025-11-05T22:01:00Z</dcterms:created>
  <dc:creator>Anna Łukasiewicz</dc:creator>
  <dc:description/>
  <dc:language>pl-PL</dc:language>
  <cp:lastModifiedBy>A.</cp:lastModifiedBy>
  <cp:lastPrinted>2019-06-06T12:54:00Z</cp:lastPrinted>
  <dcterms:modified xsi:type="dcterms:W3CDTF">2025-11-26T10:23:00Z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