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7"/>
        <w:gridCol w:w="4534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Historia rodziny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History of the Family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Interdyscyplinarne Studia nad Małżeństwem i Rodziną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stopień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Historia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Włodzimierz Osadczy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VII</w:t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Posiadanie podstawowej wiedzy historycznej, rozumienie rozwoju procesu historycznego. Rozumienie procesów społecznych w rozwoju historycznym.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 z zakresu teologii rodziny, nauki społecznej Kościoła.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C1- Zapoznanie studentów badaniami nad społeczeństwem, konfrontacja wiedzy naukowej a Prawdy Objawionej w kontekście badań nad rodziną. Wyjaśnienie powiązania ustroju gospodarczo-społecznego z modelem życia rodzinnego. Omówienie podstawowych form życia rodzinnego w poszczególnych kulturach i epokach. Przybliżenie studentom nauki Kościoła wobec zmieniających podejść społecznych do małżeństwa i rodziny.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SimSun" w:cs="Calibri" w:cstheme="minorHAnsi"/>
                <w:kern w:val="2"/>
                <w:lang w:eastAsia="hi-IN"/>
              </w:rPr>
            </w:pP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 xml:space="preserve"> </w:t>
            </w: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>C2 - Nabycie umiejętności rozumienia wymiaru naturalnego, społecznego, etycznego rodziny. Umiejętność interpretacji powiązania formy życia rodzinnego z ładem gospodarczym, kręgiem kulturowym, religijnym modelem rodziny.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C3 - Kształtowanie u studentów umiejętności pojmowania życia rodzinnego w kontekście historycznym i religijno-kulturowym, interpretowania i oceniania działalności Kościoła w kontekście historycznym w świetle obiektywnych źródeł.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5833"/>
        <w:gridCol w:w="2136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zna i rozumie współczesne problemy funkcjonowania małżeństwa i rodziny z wieloaspektowej i wielowymiarowej perspektywy historycznej.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K_W05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potrafi właściwie dobrać sposoby rozwiązywania problemów małżeństwa i rodziny przy zastosowaniu wieloaspektowej wiedzy historycznej.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potrafi poprawnie dobrać i wykorzystać starożytne źródła historyczne i teologiczne dotyczące różnych modeli małżeństwa i rodziny oraz dokonać ich oceny, krytycznej analizy i syntezy zawartych w nich informacji.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K_U03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jest gotów do historycznego i teologicznego uzasadnienia konieczności przestrzegania zasad etyki zawodowej.</w:t>
            </w:r>
          </w:p>
        </w:tc>
        <w:tc>
          <w:tcPr>
            <w:tcW w:w="21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K_K06</w:t>
            </w:r>
          </w:p>
        </w:tc>
      </w:tr>
    </w:tbl>
    <w:p>
      <w:pPr>
        <w:pStyle w:val="Normal"/>
        <w:spacing w:before="0" w:after="200"/>
        <w:ind w:left="1080" w:hanging="0"/>
        <w:contextualSpacing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Początki badań historii rodziny. Wiedza naukowa a Prawda Objawiona w odniesieniu go genezy rodziny.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Początkowe formy życia rodzinnego.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Rodziny ludów koczowniczych.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Osiadły tryb życia i utrwalenie się rodziny patriarchalnej.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Życie rodzinne Izraelitów w czasach Starego Testamentu.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Rodzina w okresie starożytnym. Grecja, Rzym.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Europa średniowieczna dominacja koncepcji rodziny chrześcijańskiej.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Rodzina w świecie islamu i Żydów w diasporze.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Nowoczesność. Zmiana podejścia do koncepcji rodziny.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Kościół wobec zmian społecznych w podejściu do rodziny.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Rodzina w okresie współczesnym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"/>
        <w:gridCol w:w="2656"/>
        <w:gridCol w:w="2773"/>
        <w:gridCol w:w="2540"/>
      </w:tblGrid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konwencjonalny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Zaliczenie ustne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bookmarkStart w:id="0" w:name="_Hlk214262435"/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egzaminu ustnego</w:t>
            </w:r>
            <w:bookmarkEnd w:id="0"/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konwencjonalny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Zaliczenie ustne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egzaminu ustnego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Zaliczenie ustne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Analiza tekstu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zaliczeniowa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Karta egzaminu ustnego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200"/>
        <w:ind w:left="1080" w:hanging="0"/>
        <w:contextualSpacing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Kryteria oceny, uwagi…</w:t>
      </w:r>
    </w:p>
    <w:p>
      <w:pPr>
        <w:pStyle w:val="Normal"/>
        <w:rPr>
          <w:bCs/>
        </w:rPr>
      </w:pPr>
      <w:r>
        <w:rPr>
          <w:bCs/>
        </w:rPr>
        <w:t>2 (niedostateczna) poniżej 30% wymagań</w:t>
      </w:r>
    </w:p>
    <w:p>
      <w:pPr>
        <w:pStyle w:val="Normal"/>
        <w:rPr>
          <w:bCs/>
        </w:rPr>
      </w:pPr>
      <w:r>
        <w:rPr>
          <w:bCs/>
        </w:rPr>
        <w:t>3 (dostateczna) 31-50% wymagań</w:t>
      </w:r>
    </w:p>
    <w:p>
      <w:pPr>
        <w:pStyle w:val="Normal"/>
        <w:rPr>
          <w:bCs/>
        </w:rPr>
      </w:pPr>
      <w:r>
        <w:rPr>
          <w:bCs/>
        </w:rPr>
        <w:t xml:space="preserve">3,5 (dostateczna plus) 51-60% wymagań </w:t>
      </w:r>
    </w:p>
    <w:p>
      <w:pPr>
        <w:pStyle w:val="Normal"/>
        <w:rPr>
          <w:bCs/>
        </w:rPr>
      </w:pPr>
      <w:r>
        <w:rPr>
          <w:bCs/>
        </w:rPr>
        <w:t>4 (dobra) 61-80% wymagań</w:t>
      </w:r>
    </w:p>
    <w:p>
      <w:pPr>
        <w:pStyle w:val="Normal"/>
        <w:rPr>
          <w:bCs/>
        </w:rPr>
      </w:pPr>
      <w:r>
        <w:rPr>
          <w:bCs/>
        </w:rPr>
        <w:t xml:space="preserve">4,5 (dobry plus) wymagań 81-90% wymagań </w:t>
      </w:r>
    </w:p>
    <w:p>
      <w:pPr>
        <w:pStyle w:val="Normal"/>
        <w:rPr>
          <w:bCs/>
        </w:rPr>
      </w:pPr>
      <w:r>
        <w:rPr>
          <w:bCs/>
        </w:rPr>
        <w:t>5 (bardzo dobra) 91-100% wymagań</w:t>
      </w:r>
    </w:p>
    <w:p>
      <w:pPr>
        <w:pStyle w:val="Normal"/>
        <w:rPr>
          <w:bCs/>
        </w:rPr>
      </w:pPr>
      <w:r>
        <w:rPr>
          <w:bCs/>
        </w:rPr>
        <w:t>Stopień posiadania kompetencji społecznych oceniany wg skali: niewielki (2.0 – 2,5), podstawowy, (3.0 - 3,5), średni (4.0 – 4,5), wysoki (5,0 i ponad 5.00)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35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09" w:right="0" w:hanging="709"/>
              <w:jc w:val="left"/>
              <w:rPr>
                <w:rFonts w:eastAsia="SimSun" w:cs="Calibri" w:cstheme="minorHAnsi"/>
                <w:kern w:val="2"/>
                <w:lang w:eastAsia="hi-IN"/>
              </w:rPr>
            </w:pP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 xml:space="preserve">Filipiak M., </w:t>
            </w:r>
            <w:r>
              <w:rPr>
                <w:rFonts w:eastAsia="SimSun" w:cs="Calibri" w:cstheme="minorHAnsi"/>
                <w:i/>
                <w:iCs/>
                <w:kern w:val="2"/>
                <w:sz w:val="22"/>
                <w:szCs w:val="22"/>
                <w:lang w:val="pl-PL" w:eastAsia="hi-IN" w:bidi="ar-SA"/>
              </w:rPr>
              <w:t>Pojęcie i struktura rodziny w Starym Testamencie</w:t>
            </w:r>
            <w:r>
              <w:rPr>
                <w:rFonts w:eastAsia="SimSun" w:cs="Calibri" w:cstheme="minorHAnsi"/>
                <w:kern w:val="2"/>
                <w:sz w:val="22"/>
                <w:szCs w:val="22"/>
                <w:lang w:val="pl-PL" w:eastAsia="hi-IN" w:bidi="ar-SA"/>
              </w:rPr>
              <w:t>, „Zeszyty Naukowe KUL” 23/3(1980), s. 25-31.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709" w:right="0" w:hanging="709"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Moliński W., </w:t>
            </w:r>
            <w:r>
              <w:rPr>
                <w:rFonts w:eastAsia="Calibri" w:cs=""/>
                <w:i/>
                <w:iCs/>
                <w:color w:val="000000"/>
                <w:kern w:val="0"/>
                <w:sz w:val="22"/>
                <w:szCs w:val="22"/>
                <w:lang w:val="pl-PL" w:eastAsia="en-US" w:bidi="ar-SA"/>
              </w:rPr>
              <w:t>Małżeństwo w świetle Nowego Testamentu</w:t>
            </w: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, „Nowum”</w:t>
            </w:r>
            <w:r>
              <w:rPr>
                <w:rFonts w:eastAsia="Calibri" w:cs=""/>
                <w:kern w:val="0"/>
                <w:sz w:val="22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9(1980), s. 31-59.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Eckmann A.,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 Starożytna rodzina grecka i rzymska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„Vox Patrum” 5(1985), t. 8-9, s. 29-50.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Longosz S, </w:t>
            </w:r>
            <w:r>
              <w:rPr>
                <w:rFonts w:eastAsia="Calibri" w:cs="Calibri" w:cstheme="minorHAnsi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>Rodzina wczesnochrześcijańska i jej zadania w nauczaniu św. Bazylego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, „Roczniki Teologiczno-Kanoniczne” 28(1981), z. 4, s. 149-168.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Uciecha A.,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Rodzina miejscem wychowania w traktacie pedagogicznym „O wychowaniu dzieci”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„Śląskie Studia Historyczno-Teologiczne” 19-20(1986-1987), s. 65-92.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Longosz S., </w:t>
            </w:r>
            <w:r>
              <w:rPr>
                <w:rFonts w:eastAsia="Calibri" w:cs="Calibri" w:cstheme="minorHAnsi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>Widowiska teatralne zagrożeniem dla życia rodzinnego według św. Jana Chryzostoma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 (wstęp i antologia), w: </w:t>
            </w:r>
            <w:r>
              <w:rPr>
                <w:rFonts w:eastAsia="Calibri" w:cs="Calibri" w:cstheme="minorHAnsi"/>
                <w:i/>
                <w:spacing w:val="-3"/>
                <w:kern w:val="0"/>
                <w:sz w:val="22"/>
                <w:szCs w:val="22"/>
                <w:lang w:val="pl-PL" w:eastAsia="en-US" w:bidi="ar-SA"/>
              </w:rPr>
              <w:t>Chrześcijanie a życie publiczne w Cesarstwie Rzymskim III-IV wieku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, Lublin 1988, s. 135-198.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szCs w:val="23"/>
              </w:rPr>
            </w:pPr>
            <w:r>
              <w:rPr>
                <w:rFonts w:eastAsia="Calibri" w:cs=""/>
                <w:kern w:val="0"/>
                <w:sz w:val="22"/>
                <w:szCs w:val="23"/>
                <w:lang w:val="pl-PL" w:eastAsia="en-US" w:bidi="ar-SA"/>
              </w:rPr>
              <w:t xml:space="preserve">Staniek E., </w:t>
            </w:r>
            <w:r>
              <w:rPr>
                <w:rFonts w:eastAsia="Calibri" w:cs=""/>
                <w:i/>
                <w:iCs/>
                <w:kern w:val="0"/>
                <w:sz w:val="22"/>
                <w:szCs w:val="23"/>
                <w:lang w:val="pl-PL" w:eastAsia="en-US" w:bidi="ar-SA"/>
              </w:rPr>
              <w:t>Stosunek chrześcijan starożytnych do dziecka przed jego narodzeniem według Ojców Kościoła</w:t>
            </w:r>
            <w:r>
              <w:rPr>
                <w:rFonts w:eastAsia="Calibri" w:cs=""/>
                <w:kern w:val="0"/>
                <w:sz w:val="22"/>
                <w:szCs w:val="23"/>
                <w:lang w:val="pl-PL" w:eastAsia="en-US" w:bidi="ar-SA"/>
              </w:rPr>
              <w:t>, „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Ruch Biblijny i Liturgiczny” 44(1991), s. 47-53.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i/>
                <w:iCs/>
                <w:spacing w:val="-3"/>
                <w:kern w:val="0"/>
                <w:sz w:val="22"/>
                <w:szCs w:val="22"/>
                <w:lang w:val="pl-PL" w:eastAsia="en-US" w:bidi="ar-SA"/>
              </w:rPr>
              <w:t>Rodzina w społeczeństwach antycznych i wczesnym chrześcijaństwie. Literatura, prawo, epigrafika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, sztuka, red. J. Jundziłł, Bydgoszcz 1995.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Dmitruk M.,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Obyczaje weselne i pogrzebowe chrześcijan w świetle duszpasterskiej działalności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„Vox Patrum” 21(2001), t. 40-41, s. 263-291.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Kołosowski T.,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Wychowanie religijno-moralne dzieci w rodzinie w świetle traktatu „O wychowaniu dzieci”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„Seminare” 17(2001), s. 405-420.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Krykowski J.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Nauka o małżeństwie, rodzinie i wychowaniu u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(wstęp), w: Św. Jan Chryzostom,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O małżeństwie, wychowaniu dzieci i ascezie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przekład zbiorowy, [Biblioteka Ojców Kościoła, t. 19], Kraków 2002, s. 17-43.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Flandrin J.-L., Historia rodziny, Warszawa 1998.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2"/>
                <w:sz w:val="22"/>
                <w:szCs w:val="22"/>
                <w:lang w:val="pl-PL" w:eastAsia="pl-PL" w:bidi="ar-SA"/>
              </w:rPr>
              <w:t>Khurshid Ahamad, Rodzina w islamie, Wrocław 2002.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Rosik M., Wybrani przez Boga. Tak żyli pierwsi chrześcijanie, Kraków 2024.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Uciecha A.,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Rola ojca w procesie wychowania domowego na podstawie traktatu św. Jana Chryzostoma „O wychowaniu dzieci”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, w: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Dziecko w rodzinie i społeczeństwie. Starożytność-średniowiecze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red. J. Jundziłł, D. Żołądź-Strzelczyk, Bydgoszcz 2002, s. 205-218.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Wachowicz A.,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Czystość małżeńska według św.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„Colloquia Theologica Ottoniana” 2007, nr 1, s. 35-75.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Szczur P.,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Problematyka społeczna w późnoantycznej Antiochii na podstawie nauczania homiletycznego Jana Chryzostoma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Lublin 2008, s. 293-360.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Longosz S.,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Geneza pojęcia „rodzina kościołem domowym” w tradycji patrystycznej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, w: </w:t>
            </w:r>
            <w:r>
              <w:rPr>
                <w:rFonts w:eastAsia="Calibri" w:cs="Calibri" w:cstheme="minorHAnsi"/>
                <w:i/>
                <w:iCs/>
                <w:kern w:val="0"/>
                <w:sz w:val="22"/>
                <w:szCs w:val="22"/>
                <w:lang w:val="pl-PL" w:eastAsia="en-US" w:bidi="ar-SA"/>
              </w:rPr>
              <w:t>Rodzina jako kościół domowy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, red. A. Tomkiewicz, W. Wieczorek, Lublin 2010, s. 35-45.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2"/>
                <w:sz w:val="22"/>
                <w:szCs w:val="22"/>
                <w:lang w:val="pl-PL" w:eastAsia="pl-PL" w:bidi="ar-SA"/>
              </w:rPr>
              <w:t xml:space="preserve">Rodzina żydowska 1939-1945. Wybrane zagadnienia, red. </w:t>
            </w:r>
            <w:hyperlink r:id="rId2">
              <w:r>
                <w:rPr>
                  <w:rFonts w:eastAsia="Times New Roman" w:cs="Calibri" w:cstheme="minorHAnsi"/>
                  <w:kern w:val="0"/>
                  <w:sz w:val="22"/>
                  <w:szCs w:val="22"/>
                  <w:lang w:val="pl-PL" w:eastAsia="pl-PL" w:bidi="ar-SA"/>
                </w:rPr>
                <w:t>M. Grądzka-Rejak</w:t>
              </w:r>
            </w:hyperlink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, </w:t>
            </w:r>
            <w:hyperlink r:id="rId3">
              <w:r>
                <w:rPr>
                  <w:rFonts w:eastAsia="Times New Roman" w:cs="Calibri" w:cstheme="minorHAnsi"/>
                  <w:kern w:val="0"/>
                  <w:sz w:val="22"/>
                  <w:szCs w:val="22"/>
                  <w:lang w:val="pl-PL" w:eastAsia="pl-PL" w:bidi="ar-SA"/>
                </w:rPr>
                <w:t>K. Zieliński</w:t>
              </w:r>
            </w:hyperlink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, Kraków 2024.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Gies J., Gies F., Życie średniowiecznej rodziny, Kraków 2020.</w:t>
            </w:r>
          </w:p>
          <w:p>
            <w:pPr>
              <w:pStyle w:val="Normal"/>
              <w:widowControl/>
              <w:spacing w:lineRule="auto" w:line="240" w:before="0" w:after="0"/>
              <w:ind w:left="708" w:right="0" w:hanging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Kobieta i rodzina w średniowieczu i na progu czasów nowożytnych, red. Z. H. Nowak, A. Radzimiński, Toruń 1998.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cs="Calibri" w:cstheme="minorHAns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Drączkowski F.,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Świętość małżeństwa i rodziny według Klemensa Aleksan</w:t>
              <w:softHyphen/>
              <w:t>dryjskie</w:t>
              <w:softHyphen/>
              <w:t>go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„Vox Patrum” 5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(1985), t. 8-9, s. 95-125.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Hamman A. G.,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Życie codzienne pierwszych chrześcijan, Warszawa 1900. 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„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Vox Patrum” 5(1985), t. 8-9 – cały tom.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eastAsia="Arial Unicode MS" w:cs="Calibri" w:cstheme="minorHAnsi"/>
                <w:lang w:eastAsia="pl-PL"/>
              </w:rPr>
            </w:pP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Longosz S., </w:t>
            </w:r>
            <w:r>
              <w:rPr>
                <w:rFonts w:eastAsia="Arial Unicode MS" w:cs="Calibri" w:cstheme="minorHAnsi"/>
                <w:i/>
                <w:iCs/>
                <w:kern w:val="0"/>
                <w:sz w:val="22"/>
                <w:szCs w:val="22"/>
                <w:lang w:val="pl-PL" w:eastAsia="pl-PL" w:bidi="ar-SA"/>
              </w:rPr>
              <w:t>Antykoncepcja i aborcja w ocenie św. Jana Chryzostoma</w:t>
            </w: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>, „Roczniki Teologiczne” 54(2007), z. 10, s. 279-301.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eastAsia="Arial Unicode MS" w:cs="Calibri" w:cstheme="minorHAnsi"/>
                <w:lang w:eastAsia="pl-PL"/>
              </w:rPr>
            </w:pP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Czyżewski B., </w:t>
            </w:r>
            <w:r>
              <w:rPr>
                <w:rFonts w:eastAsia="Arial Unicode MS" w:cs="Calibri" w:cstheme="minorHAnsi"/>
                <w:i/>
                <w:iCs/>
                <w:kern w:val="0"/>
                <w:sz w:val="22"/>
                <w:szCs w:val="22"/>
                <w:lang w:val="pl-PL" w:eastAsia="pl-PL" w:bidi="ar-SA"/>
              </w:rPr>
              <w:t>„Pater familias” i jego zadania według św. Jana Chryzostoma</w:t>
            </w: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>, „Vox Patrum” 29(2009), t. 53-54, s. 205-221.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both"/>
              <w:rPr>
                <w:rFonts w:eastAsia="Arial Unicode MS" w:cs="Calibri" w:cstheme="minorHAnsi"/>
                <w:lang w:eastAsia="pl-PL"/>
              </w:rPr>
            </w:pP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 xml:space="preserve">Jurkiewicz J., </w:t>
            </w:r>
            <w:r>
              <w:rPr>
                <w:rFonts w:eastAsia="Arial Unicode MS" w:cs="Calibri" w:cstheme="minorHAnsi"/>
                <w:i/>
                <w:iCs/>
                <w:kern w:val="0"/>
                <w:sz w:val="22"/>
                <w:szCs w:val="22"/>
                <w:lang w:val="pl-PL" w:eastAsia="pl-PL" w:bidi="ar-SA"/>
              </w:rPr>
              <w:t>„Mater familias” w nauczaniu św. Jana Chryzostoma</w:t>
            </w:r>
            <w:r>
              <w:rPr>
                <w:rFonts w:eastAsia="Arial Unicode MS" w:cs="Calibri" w:cstheme="minorHAnsi"/>
                <w:kern w:val="0"/>
                <w:sz w:val="22"/>
                <w:szCs w:val="22"/>
                <w:lang w:val="pl-PL" w:eastAsia="pl-PL" w:bidi="ar-SA"/>
              </w:rPr>
              <w:t>, „Vox Patrum” 29(2009), t. 53-54, s. 223-231.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„</w:t>
            </w: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Vox Patrum” 29(2009), t. 53-54 – cały tom.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 xml:space="preserve">Wipper R. J., Rzym i wczesne chrześcijaństwo, Warszawa 1960. </w:t>
            </w:r>
          </w:p>
          <w:p>
            <w:pPr>
              <w:pStyle w:val="Normal"/>
              <w:widowControl/>
              <w:spacing w:lineRule="auto" w:line="240" w:before="0" w:after="0"/>
              <w:ind w:left="709" w:right="0" w:hanging="709"/>
              <w:jc w:val="left"/>
              <w:rPr>
                <w:rFonts w:cs="Calibri" w:cstheme="minorHAnsi"/>
                <w:spacing w:val="-3"/>
              </w:rPr>
            </w:pPr>
            <w:r>
              <w:rPr>
                <w:rFonts w:eastAsia="Calibri" w:cs="Calibri" w:cstheme="minorHAnsi"/>
                <w:spacing w:val="-3"/>
                <w:kern w:val="0"/>
                <w:sz w:val="22"/>
                <w:szCs w:val="22"/>
                <w:lang w:val="pl-PL" w:eastAsia="en-US" w:bidi="ar-SA"/>
              </w:rPr>
              <w:t>Babik M., Współżycie seksualne w nauczaniu biblijnym, Kraków 2007.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70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90e7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e6d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onito.pl/autor/Martyna+Gr&#261;dzka-Rejak/" TargetMode="External"/><Relationship Id="rId3" Type="http://schemas.openxmlformats.org/officeDocument/2006/relationships/hyperlink" Target="https://bonito.pl/autor/Konrad+Zieli&#324;ski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LibreOffice/7.5.6.2$Windows_X86_64 LibreOffice_project/f654817fb68d6d4600d7d2f6b647e47729f55f15</Application>
  <AppVersion>15.0000</AppVersion>
  <Pages>4</Pages>
  <Words>1017</Words>
  <Characters>6935</Characters>
  <CharactersWithSpaces>7803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2025-11-17T08:01:00Z</dcterms:created>
  <dc:creator>wlodos</dc:creator>
  <dc:description/>
  <dc:language>pl-PL</dc:language>
  <cp:lastModifiedBy>Katarzyna Zielińska - Król</cp:lastModifiedBy>
  <cp:lastPrinted>2025-01-21T21:37:00Z</cp:lastPrinted>
  <dcterms:modified xsi:type="dcterms:W3CDTF">2025-11-17T08:01:00Z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