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rPr>
          <w:b/>
        </w:rPr>
      </w:pPr>
      <w:r>
        <w:rPr>
          <w:b/>
        </w:rPr>
        <w:t xml:space="preserve">KARTA PRZEDMIOTU </w:t>
      </w:r>
    </w:p>
    <w:p>
      <w:pPr>
        <w:pStyle w:val="Normal"/>
        <w:spacing w:before="0" w:after="120"/>
        <w:rPr/>
      </w:pPr>
      <w:r>
        <w:rPr/>
        <w:t xml:space="preserve">Cykl kształcenia od roku akademickiego: </w:t>
      </w:r>
      <w:r>
        <w:rPr>
          <w:b/>
          <w:bCs/>
        </w:rPr>
        <w:t>2024/2025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2"/>
        <w:gridCol w:w="4529"/>
      </w:tblGrid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Metodologia badań społecznych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Social research methodology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nauki o rodzinie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nauki o rodzinie</w:t>
            </w:r>
          </w:p>
        </w:tc>
      </w:tr>
      <w:tr>
        <w:trPr/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3"/>
        <w:gridCol w:w="4528"/>
      </w:tblGrid>
      <w:tr>
        <w:trPr/>
        <w:tc>
          <w:tcPr>
            <w:tcW w:w="45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Koordynator przedmiotu</w:t>
            </w:r>
          </w:p>
        </w:tc>
        <w:tc>
          <w:tcPr>
            <w:tcW w:w="45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 Grzegorz Krawczyk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zajęć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IV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2"/>
        <w:gridCol w:w="7649"/>
      </w:tblGrid>
      <w:tr>
        <w:trPr/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76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pl-PL" w:eastAsia="en-US" w:bidi="ar-SA"/>
              </w:rPr>
              <w:t>Student posiada podstawową wiedzę z zakresu nauk społecznych, w tym znajomość podstawowych pojęć z socjologii, psychologii społecznej lub nauk o społeczeństwie.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Cel 1: Zapoznanie studentów z podstawowymi założeniami i etapami procesu badawczego w naukach społecznych – od formułowania problemu badawczego po analizę i interpretację wyników.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Cel 2: Kształcenie umiejętności doboru i stosowania odpowiednich metod oraz technik badawczych w zależności od charakteru badanego zjawiska społecznego.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Cel 3: Rozwijanie kompetencji krytycznej analizy i interpretacji danych empirycznych oraz umiejętności prezentacji wyników badań w formie naukowej.</w:t>
            </w:r>
          </w:p>
        </w:tc>
      </w:tr>
    </w:tbl>
    <w:p>
      <w:pPr>
        <w:pStyle w:val="ListParagraph"/>
        <w:spacing w:lineRule="auto" w:line="240" w:before="0" w:after="0"/>
        <w:ind w:left="1080" w:hanging="0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spacing w:lineRule="auto" w:line="240" w:before="0" w:after="0"/>
        <w:ind w:left="1080" w:hanging="0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>Efekty uczenia się dla przedmiotu wraz z odniesieniem do efektów kierunkowych</w:t>
      </w:r>
    </w:p>
    <w:p>
      <w:pPr>
        <w:pStyle w:val="ListParagraph"/>
        <w:spacing w:lineRule="auto" w:line="240" w:before="0" w:after="0"/>
        <w:ind w:left="1080" w:hanging="0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tbl>
      <w:tblPr>
        <w:tblW w:w="8973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00"/>
        <w:gridCol w:w="6096"/>
        <w:gridCol w:w="1777"/>
      </w:tblGrid>
      <w:tr>
        <w:trPr>
          <w:trHeight w:val="39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Symbol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Opis efektu przedmiotowego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Odniesienie do efektu kierunkowego </w:t>
            </w:r>
          </w:p>
        </w:tc>
      </w:tr>
      <w:tr>
        <w:trPr>
          <w:trHeight w:val="397" w:hRule="atLeast"/>
        </w:trPr>
        <w:tc>
          <w:tcPr>
            <w:tcW w:w="8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WIEDZA</w:t>
            </w:r>
          </w:p>
        </w:tc>
      </w:tr>
      <w:tr>
        <w:trPr>
          <w:trHeight w:val="39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W_01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Student zna i rozumie w zaawansowanym stopniu teorie dotyczące małżeństwa i rodziny oraz zasady metodologii badań społecznych, umożliwiające naukową analizę i interpretację zjawisk rodzinnych w kontekście teologicznym i społecznym.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K_W01</w:t>
            </w:r>
          </w:p>
        </w:tc>
      </w:tr>
      <w:tr>
        <w:trPr>
          <w:trHeight w:val="39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W_02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Student zna i rozumie w zaawansowanym stopniu złożone zależności między teoriami dotyczącymi małżeństwa i rodziny w ujęciu nauk teologicznych oraz nauk o rodzinie, uwzględniając metodologiczne podstawy badań społecznych nad tymi zjawiskami.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K_W03</w:t>
            </w:r>
          </w:p>
        </w:tc>
      </w:tr>
      <w:tr>
        <w:trPr>
          <w:trHeight w:val="39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W_03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Student zna i rozumie społeczne, ekonomiczne, prawne, etyczne i inne uwarunkowania działań zawodowych w obszarze małżeństwa i rodziny, odnosząc je do zasad, procedur i standardów metodologicznych obowiązujących w badaniach społecznych dotyczących życia rodzinnego.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K_W06</w:t>
            </w:r>
          </w:p>
        </w:tc>
      </w:tr>
      <w:tr>
        <w:trPr>
          <w:trHeight w:val="397" w:hRule="atLeast"/>
        </w:trPr>
        <w:tc>
          <w:tcPr>
            <w:tcW w:w="8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UMIEJĘTNOŚCI</w:t>
            </w:r>
          </w:p>
        </w:tc>
      </w:tr>
      <w:tr>
        <w:trPr>
          <w:trHeight w:val="39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U_01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Student potrafi zastosować zasady i metody badań społecznych do doboru, oceny oraz krytycznej analizy źródeł informacji, a także do formułowania wniosków i rozwiązywania złożonych problemów badawczych dotyczących małżeństwa i rodziny.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K_U03</w:t>
            </w:r>
          </w:p>
        </w:tc>
      </w:tr>
      <w:tr>
        <w:trPr>
          <w:trHeight w:val="39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U_02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Student potrafi posługiwać się specjalistyczną terminologią z zakresu metodologii badań społecznych w odniesieniu do zagadnień małżeństwa i rodziny, efektywnie komunikując wyniki analiz i badań w formie ustnej i pisemnej.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K_U04</w:t>
            </w:r>
          </w:p>
        </w:tc>
      </w:tr>
      <w:tr>
        <w:trPr>
          <w:trHeight w:val="39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U_03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Student potrafi określić kierunki własnego rozwoju osobistego, zawodowego i naukowego w zakresie badań nad małżeństwem i rodziną, wykorzystując wiedzę z metodologii badań społecznych jako narzędzie wspierające samodzielne i refleksyjne uczenie się przez całe życie.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K_U06</w:t>
            </w:r>
          </w:p>
        </w:tc>
      </w:tr>
      <w:tr>
        <w:trPr>
          <w:trHeight w:val="397" w:hRule="atLeast"/>
        </w:trPr>
        <w:tc>
          <w:tcPr>
            <w:tcW w:w="8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KOMPETENCJE SPOŁECZNE</w:t>
            </w:r>
          </w:p>
        </w:tc>
      </w:tr>
      <w:tr>
        <w:trPr>
          <w:trHeight w:val="39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Student jest gotów do krytycznej oceny posiadanej wiedzy i umiejętności w zakresie metodologii badań społecznych dotyczących małżeństwa i rodziny, a także do refleksji nad etycznymi i społecznymi konsekwencjami podejmowanych działań badawczych i ich zastosowań w praktyce.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K_K01</w:t>
            </w:r>
          </w:p>
        </w:tc>
      </w:tr>
      <w:tr>
        <w:trPr>
          <w:trHeight w:val="39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Student jest gotów do przestrzegania i promowania zasad etyki zawodowej oraz norm etycznych obowiązujących w metodologii badań społecznych dotyczących małżeństwa i rodziny, a także do kształtowania postaw odpowiedzialności i rzetelności badawczej zgodnych z tradycją nauk społecznych.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K_K06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>Opis przedmiotu/ treści programowe</w:t>
      </w:r>
    </w:p>
    <w:tbl>
      <w:tblPr>
        <w:tblW w:w="8897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897"/>
      </w:tblGrid>
      <w:tr>
        <w:trPr>
          <w:trHeight w:val="1261" w:hRule="atLeast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Wprowadzenie do badań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Działalność badawcza człowieka a nauka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Etyka i polityka w badaniach społecznych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Plan badań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Konceptualizacja, operacjonalizacja i pomiar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Indeksy, skale i typologie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Logika doboru próby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Eksperyment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Badania sondażowe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Jakościowe badania terenowe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Badania niereaktywne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Badania ewaluacyjne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Analiza danych jakościowych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Analiza danych ilościowych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Badania społeczne – jak o nich czytać, jak o nich pisać</w:t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Metody realizacji weryfikacji efektów uczenia się</w:t>
      </w:r>
    </w:p>
    <w:p>
      <w:pPr>
        <w:pStyle w:val="ListParagraph"/>
        <w:spacing w:lineRule="auto" w:line="240" w:before="0" w:after="0"/>
        <w:ind w:left="1080" w:hanging="0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tbl>
      <w:tblPr>
        <w:tblW w:w="9039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99"/>
        <w:gridCol w:w="2404"/>
        <w:gridCol w:w="2409"/>
        <w:gridCol w:w="2126"/>
      </w:tblGrid>
      <w:tr>
        <w:trPr>
          <w:trHeight w:val="244" w:hRule="atLeast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Symbol efektu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Metody dydaktyczne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(lista wyboru)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Metody weryfikacji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(lista wyboru)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Sposoby dokumentacji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(lista wyboru) </w:t>
            </w:r>
          </w:p>
        </w:tc>
      </w:tr>
      <w:tr>
        <w:trPr>
          <w:trHeight w:val="284" w:hRule="atLeast"/>
        </w:trPr>
        <w:tc>
          <w:tcPr>
            <w:tcW w:w="9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WIEDZA</w:t>
            </w:r>
          </w:p>
        </w:tc>
      </w:tr>
      <w:tr>
        <w:trPr>
          <w:trHeight w:val="284" w:hRule="atLeast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W_01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Wykład konwencjonalny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Egzamin ustny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Wypełniona karta egzaminu ustnego</w:t>
            </w:r>
          </w:p>
        </w:tc>
      </w:tr>
      <w:tr>
        <w:trPr>
          <w:trHeight w:val="284" w:hRule="atLeast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W_02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Wykład konwencjonalny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Egzamin ustny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Wypełniona karta egzaminu ustnego</w:t>
            </w:r>
          </w:p>
        </w:tc>
      </w:tr>
      <w:tr>
        <w:trPr>
          <w:trHeight w:val="284" w:hRule="atLeast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W_03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Wykład konwencjonalny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Egzamin ustny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Wypełniona karta egzaminu ustnego</w:t>
            </w:r>
          </w:p>
        </w:tc>
      </w:tr>
      <w:tr>
        <w:trPr>
          <w:trHeight w:val="284" w:hRule="atLeast"/>
        </w:trPr>
        <w:tc>
          <w:tcPr>
            <w:tcW w:w="9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UMIEJĘTNOŚCI</w:t>
            </w:r>
          </w:p>
        </w:tc>
      </w:tr>
      <w:tr>
        <w:trPr>
          <w:trHeight w:val="284" w:hRule="atLeast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U_01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Wykład konwencjonalny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Egzamin ustny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Wypełniona karta egzaminu ustnego</w:t>
            </w:r>
          </w:p>
        </w:tc>
      </w:tr>
      <w:tr>
        <w:trPr>
          <w:trHeight w:val="284" w:hRule="atLeast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U_02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Wykład konwencjonalny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Egzamin ustny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Wypełniona karta egzaminu ustnego</w:t>
            </w:r>
          </w:p>
        </w:tc>
      </w:tr>
      <w:tr>
        <w:trPr>
          <w:trHeight w:val="284" w:hRule="atLeast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U_03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Wykład konwencjonalny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Egzamin ustny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Wypełniona karta egzaminu ustnego</w:t>
            </w:r>
          </w:p>
        </w:tc>
      </w:tr>
      <w:tr>
        <w:trPr>
          <w:trHeight w:val="284" w:hRule="atLeast"/>
        </w:trPr>
        <w:tc>
          <w:tcPr>
            <w:tcW w:w="9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KOMPETENCJE SPOŁECZNE</w:t>
            </w:r>
          </w:p>
        </w:tc>
      </w:tr>
      <w:tr>
        <w:trPr>
          <w:trHeight w:val="284" w:hRule="atLeast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K_01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Dyskusja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Egzamin ustny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Wypełniona karta egzaminu ustnego</w:t>
            </w:r>
          </w:p>
        </w:tc>
      </w:tr>
      <w:tr>
        <w:trPr>
          <w:trHeight w:val="284" w:hRule="atLeast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K_02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Dyskusja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Egzamin ustny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Wypełniona karta egzaminu ustnego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Cs/>
        </w:rPr>
      </w:pPr>
      <w:r>
        <w:rPr>
          <w:bCs/>
        </w:rPr>
        <w:t>Kryteria oceny i sposoby weryfikacji zakładanych efektów kształcenia</w:t>
      </w:r>
    </w:p>
    <w:p>
      <w:pPr>
        <w:pStyle w:val="ListParagraph"/>
        <w:spacing w:lineRule="auto" w:line="240" w:before="0" w:after="0"/>
        <w:ind w:left="1080" w:hanging="0"/>
        <w:contextualSpacing/>
        <w:rPr>
          <w:bCs/>
        </w:rPr>
      </w:pPr>
      <w:r>
        <w:rPr>
          <w:bCs/>
        </w:rPr>
        <w:t>Zaliczenie wykładu – egzamin ustny</w:t>
      </w:r>
    </w:p>
    <w:p>
      <w:pPr>
        <w:pStyle w:val="ListParagraph"/>
        <w:spacing w:lineRule="auto" w:line="240" w:before="0" w:after="0"/>
        <w:ind w:left="1080" w:hanging="0"/>
        <w:contextualSpacing/>
        <w:rPr>
          <w:bCs/>
        </w:rPr>
      </w:pPr>
      <w:r>
        <w:rPr>
          <w:bCs/>
        </w:rPr>
        <w:t>Punktacja:</w:t>
      </w:r>
    </w:p>
    <w:p>
      <w:pPr>
        <w:pStyle w:val="ListParagraph"/>
        <w:spacing w:lineRule="auto" w:line="240" w:before="0" w:after="0"/>
        <w:ind w:left="1080" w:hanging="0"/>
        <w:contextualSpacing/>
        <w:rPr>
          <w:bCs/>
        </w:rPr>
      </w:pPr>
      <w:r>
        <w:rPr>
          <w:bCs/>
        </w:rPr>
        <w:t>51%-60% wymagań - 3,0</w:t>
      </w:r>
    </w:p>
    <w:p>
      <w:pPr>
        <w:pStyle w:val="ListParagraph"/>
        <w:spacing w:lineRule="auto" w:line="240" w:before="0" w:after="0"/>
        <w:ind w:left="1080" w:hanging="0"/>
        <w:contextualSpacing/>
        <w:rPr>
          <w:bCs/>
        </w:rPr>
      </w:pPr>
      <w:r>
        <w:rPr>
          <w:bCs/>
        </w:rPr>
        <w:t>61%-70%. wymagań - 3,5</w:t>
      </w:r>
    </w:p>
    <w:p>
      <w:pPr>
        <w:pStyle w:val="ListParagraph"/>
        <w:spacing w:lineRule="auto" w:line="240" w:before="0" w:after="0"/>
        <w:ind w:left="1080" w:hanging="0"/>
        <w:contextualSpacing/>
        <w:rPr>
          <w:bCs/>
        </w:rPr>
      </w:pPr>
      <w:r>
        <w:rPr>
          <w:bCs/>
        </w:rPr>
        <w:t>71%-80% wymagań - 4,0</w:t>
      </w:r>
    </w:p>
    <w:p>
      <w:pPr>
        <w:pStyle w:val="ListParagraph"/>
        <w:spacing w:lineRule="auto" w:line="240" w:before="0" w:after="0"/>
        <w:ind w:left="1080" w:hanging="0"/>
        <w:contextualSpacing/>
        <w:rPr>
          <w:bCs/>
        </w:rPr>
      </w:pPr>
      <w:r>
        <w:rPr>
          <w:bCs/>
        </w:rPr>
        <w:t>81%-90%  wymagań - 4,5</w:t>
      </w:r>
    </w:p>
    <w:p>
      <w:pPr>
        <w:pStyle w:val="ListParagraph"/>
        <w:spacing w:lineRule="auto" w:line="240" w:before="0" w:after="0"/>
        <w:ind w:left="1080" w:hanging="0"/>
        <w:contextualSpacing/>
        <w:rPr>
          <w:bCs/>
        </w:rPr>
      </w:pPr>
      <w:r>
        <w:rPr>
          <w:bCs/>
        </w:rPr>
        <w:t>91%-100%. wymagań - 5,0</w:t>
      </w:r>
    </w:p>
    <w:p>
      <w:pPr>
        <w:pStyle w:val="Normal"/>
        <w:spacing w:lineRule="auto" w:line="240" w:before="0" w:after="0"/>
        <w:ind w:left="360" w:hanging="0"/>
        <w:rPr>
          <w:bCs/>
        </w:rPr>
      </w:pPr>
      <w:r>
        <w:rPr>
          <w:bCs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 xml:space="preserve">bciążenie pracą studenta </w:t>
      </w:r>
    </w:p>
    <w:tbl>
      <w:tblPr>
        <w:tblW w:w="9039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28"/>
        <w:gridCol w:w="4110"/>
      </w:tblGrid>
      <w:tr>
        <w:trPr>
          <w:trHeight w:val="110" w:hRule="atLeast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Forma aktywności studenta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Liczba godzin </w:t>
            </w:r>
          </w:p>
        </w:tc>
      </w:tr>
      <w:tr>
        <w:trPr>
          <w:trHeight w:val="110" w:hRule="atLeast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Liczba godzin kontaktowych z nauczycielem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30 </w:t>
            </w:r>
          </w:p>
        </w:tc>
      </w:tr>
      <w:tr>
        <w:trPr>
          <w:trHeight w:val="110" w:hRule="atLeast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Liczba godzin indywidualnej pracy studenta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</w:tbl>
    <w:p>
      <w:pPr>
        <w:pStyle w:val="ListParagraph"/>
        <w:spacing w:lineRule="auto" w:line="240" w:before="0" w:after="0"/>
        <w:ind w:left="1080" w:hanging="0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>Literatura</w:t>
      </w:r>
    </w:p>
    <w:tbl>
      <w:tblPr>
        <w:tblW w:w="9180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180"/>
      </w:tblGrid>
      <w:tr>
        <w:trPr>
          <w:trHeight w:val="110" w:hRule="atLeast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Literatura podstawowa </w:t>
            </w:r>
          </w:p>
        </w:tc>
      </w:tr>
      <w:tr>
        <w:trPr>
          <w:trHeight w:val="377" w:hRule="atLeast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Babbie E. (2008), Podstawy badań społecznych, PWN, Warszawa.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Babbie E. (2004), Badania społeczne w praktyce, PWN, Warszawa.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Flick U. (2010), Projektowanie badania jakościowego, Wydawnictwo Naukowe PWN, Warszawa</w:t>
            </w:r>
          </w:p>
        </w:tc>
      </w:tr>
      <w:tr>
        <w:trPr>
          <w:trHeight w:val="110" w:hRule="atLeast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Literatura uzupełniająca </w:t>
            </w:r>
          </w:p>
        </w:tc>
      </w:tr>
      <w:tr>
        <w:trPr>
          <w:trHeight w:val="110" w:hRule="atLeast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Flick U. (2011), Jakość w badaniach jakościowych, Wydawnictwo Naukowe PWN, Warszawa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Kvale S. (2011), Prowadzenie wywiadów, Wydawnictwo Naukowe PWN, Warszawa.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43946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502E-9938-4406-B67D-292D35BC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LibreOffice/7.5.6.2$Windows_X86_64 LibreOffice_project/f654817fb68d6d4600d7d2f6b647e47729f55f15</Application>
  <AppVersion>15.0000</AppVersion>
  <Pages>4</Pages>
  <Words>663</Words>
  <Characters>4448</Characters>
  <CharactersWithSpaces>5000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2025-10-31T10:39:00Z</dcterms:created>
  <dc:creator>Anna Łukasiewicz</dc:creator>
  <dc:description/>
  <dc:language>pl-PL</dc:language>
  <cp:lastModifiedBy>A.</cp:lastModifiedBy>
  <cp:lastPrinted>2024-05-23T14:27:00Z</cp:lastPrinted>
  <dcterms:modified xsi:type="dcterms:W3CDTF">2025-11-24T17:26:00Z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