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7"/>
        <w:gridCol w:w="4534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1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Międzykulturowy wymiar rodziny (ujęcie historyczne)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Courier New" w:hAnsi="Courier New" w:eastAsia="Times New Roman" w:cs="Courier New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en-US" w:eastAsia="pl-PL" w:bidi="ar-SA"/>
              </w:rPr>
              <w:t>The intercultural dimension of the family (historical perspective</w:t>
            </w:r>
            <w:r>
              <w:rPr>
                <w:rFonts w:eastAsia="Times New Roman" w:cs="Courier New" w:ascii="Courier New" w:hAnsi="Courier New"/>
                <w:kern w:val="0"/>
                <w:sz w:val="20"/>
                <w:szCs w:val="20"/>
                <w:lang w:val="en-US" w:eastAsia="pl-PL" w:bidi="ar-SA"/>
              </w:rPr>
              <w:t>)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stopień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Historia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Włodzimierz Osadczy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Posiadanie podstawowej wiedzy historycznej, rozumienie rozwoju procesu historycznego. Rozumienie procesów społecznych w rozwoju historycznym.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 z zakresu teologii rodziny, nauki społecznej Kościoła. Znajomość podstaw kulturoznawstwa i religioznawstwa.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Zachęcenie studentów wielokulturowością życie rodzinnego w różnych epokach i religiach. Omówienie różnych aspektów wielokulturowych przejawów życia rodzinnego, pokazanie tego procesu w dynamice chronologicznej.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SimSun" w:cs="Calibri" w:cstheme="minorHAnsi"/>
                <w:kern w:val="2"/>
                <w:lang w:eastAsia="hi-IN"/>
              </w:rPr>
            </w:pP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 xml:space="preserve"> </w:t>
            </w: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 xml:space="preserve">Nabycie umiejętności rozumienia wymiaru naturalnego, społecznego, etycznego rodziny. Umiejętność interpretacji powiązania formy życia rodzinnego z ładem gospodarczym, kręgiem kulturowym, religijnym modelem rodziny. Umiejętność przygotowania prezentacji dotyczących problemów życia rodzinnego.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Kształtowanie u studentów umiejętności pojmowania życia rodzinnego w kontekście historycznym i religijno-kulturowym, interpretowania i oceniania działalności Kościoła w kontekście historycznym w świetle obiektywnych źródeł. Rozwój rozumienia i tolerancyjnego traktowania różnych przejawów życia rodzinnego w odniesieniu do aktualnej sytuacji społeczno-politycznej. Otwartość na wielokulturowość i dialog międzykulturowy.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833"/>
        <w:gridCol w:w="2136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zna i potrafi scharakteryzować pod względem religijnym (teologicznym), etycznym, socjologicznym i pedagogicznym różne modele rodzin występujących w różnych epokach, przestrzeniach religijno-kulturowych.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zna i rozumie miejsce rodziny w społeczeństwach (pogańskim, izraelickim w czasach Starego Testamentu, chrześcijańskim, islamskim, żydowskim) oraz jej relacje z instytucjami publicznymi. Student rozumie znaczenie kultury i religii w ustroju życia rodzinnego. 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K_W04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zna i rozumie współczesne problemy funkcjonowania małżeństwa i rodziny z wieloaspektowej i wielowymiarowej perspektywy historycznej.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K_W05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potrafi właściwie dobrać sposoby rozwiązywania problemów małżeństwa i rodziny przy zastosowaniu wieloaspektowej wiedzy historycznej.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potrafi poprawnie dobrać i wykorzystać  materiały źródłowe i opracowania przygotowując prezentacje multimedialne. Posiada umiejętność pracy z literaturą naukową. Potrafi właściwie wykorzystywać materiały ikonograficzne, używać specjalistycznej terminologii z zakresu różnych kultur i religii. 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K_U03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jest gotów do historycznego i teologicznego uzasadnienia konieczności przestrzegania zasad etyki zawodowej. Umie prowadzić fachową dyskusję w zakresie kontaktów międzykulturowych, międzyreligijnych. 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K_K06</w:t>
            </w:r>
          </w:p>
        </w:tc>
      </w:tr>
    </w:tbl>
    <w:p>
      <w:pPr>
        <w:pStyle w:val="Normal"/>
        <w:spacing w:before="0" w:after="200"/>
        <w:ind w:left="1080" w:hanging="0"/>
        <w:contextualSpacing/>
        <w:rPr>
          <w:b/>
        </w:rPr>
      </w:pPr>
      <w:r>
        <w:rPr>
          <w:b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Omówienie problematyki historii rodziny.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Omówienie propozycji studentów dot. wyboru tematów prezentacji.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Realizacja prezentacji studenckich.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Dyskusje dotyczące poszczególnych prezentacji.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Podsumowanie i zaliczenie przedmiotu.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2656"/>
        <w:gridCol w:w="2773"/>
        <w:gridCol w:w="2540"/>
      </w:tblGrid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konwencjonalny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Zaliczenie ustne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Prezentacje studenckie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Zaliczenie ustne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Zaliczenie ustne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prezentacji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200"/>
        <w:ind w:left="1080" w:hanging="0"/>
        <w:contextualSpacing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Kryteria oceny, uwagi…</w:t>
      </w:r>
    </w:p>
    <w:p>
      <w:pPr>
        <w:pStyle w:val="Normal"/>
        <w:spacing w:lineRule="auto" w:line="240" w:before="0" w:after="0"/>
        <w:rPr>
          <w:bCs/>
        </w:rPr>
      </w:pPr>
      <w:r>
        <w:rPr>
          <w:bCs/>
        </w:rPr>
        <w:t>1. Wiedza</w:t>
      </w:r>
    </w:p>
    <w:p>
      <w:pPr>
        <w:pStyle w:val="Normal"/>
        <w:spacing w:lineRule="auto" w:line="240" w:before="0" w:after="0"/>
        <w:rPr>
          <w:bCs/>
        </w:rPr>
      </w:pPr>
      <w:r>
        <w:rPr>
          <w:bCs/>
        </w:rPr>
        <w:t>2. Aktywność studenta podczas zajęć (wypowiedzi ustne, dialogi, udział w dyskusjach)</w:t>
      </w:r>
    </w:p>
    <w:p>
      <w:pPr>
        <w:pStyle w:val="Normal"/>
        <w:spacing w:lineRule="auto" w:line="240" w:before="0" w:after="0"/>
        <w:rPr>
          <w:bCs/>
        </w:rPr>
      </w:pPr>
      <w:r>
        <w:rPr>
          <w:bCs/>
        </w:rPr>
        <w:t xml:space="preserve">3. Przygotowanie studenta do zajęć </w:t>
      </w:r>
      <w:r>
        <w:rPr/>
        <w:t>(przygotowanie materiałów, wyszukanie i analiza informacji, lektura zadanych opracowań).</w:t>
      </w:r>
    </w:p>
    <w:p>
      <w:pPr>
        <w:pStyle w:val="Normal"/>
        <w:spacing w:lineRule="auto" w:line="240" w:before="0" w:after="0"/>
        <w:rPr>
          <w:bCs/>
        </w:rPr>
      </w:pPr>
      <w:r>
        <w:rPr>
          <w:bCs/>
        </w:rPr>
        <w:t>4. Frekwencja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709"/>
              <w:jc w:val="left"/>
              <w:rPr>
                <w:rFonts w:eastAsia="SimSun" w:cs="Calibri" w:cstheme="minorHAnsi"/>
                <w:kern w:val="2"/>
                <w:lang w:eastAsia="hi-IN"/>
              </w:rPr>
            </w:pP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 xml:space="preserve">Filipiak M., </w:t>
            </w:r>
            <w:r>
              <w:rPr>
                <w:rFonts w:eastAsia="SimSun" w:cs="Calibri" w:cstheme="minorHAnsi"/>
                <w:i/>
                <w:iCs/>
                <w:kern w:val="2"/>
                <w:sz w:val="22"/>
                <w:szCs w:val="22"/>
                <w:lang w:val="pl-PL" w:eastAsia="hi-IN" w:bidi="ar-SA"/>
              </w:rPr>
              <w:t>Pojęcie i struktura rodziny w Starym Testamencie</w:t>
            </w: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>, „Zeszyty Naukowe KUL” 23/3(1980), s. 25-31.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709" w:right="0" w:hanging="709"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Moliński W., </w:t>
            </w:r>
            <w:r>
              <w:rPr>
                <w:rFonts w:eastAsia="Calibri" w:cs=""/>
                <w:i/>
                <w:iCs/>
                <w:color w:val="000000"/>
                <w:kern w:val="0"/>
                <w:sz w:val="22"/>
                <w:szCs w:val="22"/>
                <w:lang w:val="pl-PL" w:eastAsia="en-US" w:bidi="ar-SA"/>
              </w:rPr>
              <w:t>Małżeństwo w świetle Nowego Testamentu</w:t>
            </w: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, „Nowum”</w:t>
            </w:r>
            <w:r>
              <w:rPr>
                <w:rFonts w:eastAsia="Calibri" w:cs=""/>
                <w:kern w:val="0"/>
                <w:sz w:val="22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9(1980), s. 31-59.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Eckmann A.,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 Starożytna rodzina grecka i rzymska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„Vox Patrum” 5(1985), t. 8-9, s. 29-50.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Longosz S, </w:t>
            </w:r>
            <w:r>
              <w:rPr>
                <w:rFonts w:eastAsia="Calibri" w:cs="Calibri" w:cstheme="minorHAnsi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Rodzina wczesnochrześcijańska i jej zadania w nauczaniu św. Bazylego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, „Roczniki Teologiczno-Kanoniczne” 28(1981), z. 4, s. 149-168.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Uciecha A.,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Rodzina miejscem wychowania w traktacie pedagogicznym „O wychowaniu dzieci”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„Śląskie Studia Historyczno-Teologiczne” 19-20(1986-1987), s. 65-92.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Longosz S., </w:t>
            </w:r>
            <w:r>
              <w:rPr>
                <w:rFonts w:eastAsia="Calibri" w:cs="Calibri" w:cstheme="minorHAnsi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Widowiska teatralne zagrożeniem dla życia rodzinnego według św. Jana Chryzostoma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(wstęp i antologia), w: </w:t>
            </w:r>
            <w:r>
              <w:rPr>
                <w:rFonts w:eastAsia="Calibri" w:cs="Calibri" w:cstheme="minorHAnsi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Chrześcijanie a życie publiczne w Cesarstwie Rzymskim III-IV wieku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, Lublin 1988, s. 135-198.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szCs w:val="23"/>
              </w:rPr>
            </w:pPr>
            <w:r>
              <w:rPr>
                <w:rFonts w:eastAsia="Calibri" w:cs=""/>
                <w:kern w:val="0"/>
                <w:sz w:val="22"/>
                <w:szCs w:val="23"/>
                <w:lang w:val="pl-PL" w:eastAsia="en-US" w:bidi="ar-SA"/>
              </w:rPr>
              <w:t xml:space="preserve">Staniek E., </w:t>
            </w:r>
            <w:r>
              <w:rPr>
                <w:rFonts w:eastAsia="Calibri" w:cs=""/>
                <w:i/>
                <w:iCs/>
                <w:kern w:val="0"/>
                <w:sz w:val="22"/>
                <w:szCs w:val="23"/>
                <w:lang w:val="pl-PL" w:eastAsia="en-US" w:bidi="ar-SA"/>
              </w:rPr>
              <w:t>Stosunek chrześcijan starożytnych do dziecka przed jego narodzeniem według Ojców Kościoła</w:t>
            </w:r>
            <w:r>
              <w:rPr>
                <w:rFonts w:eastAsia="Calibri" w:cs=""/>
                <w:kern w:val="0"/>
                <w:sz w:val="22"/>
                <w:szCs w:val="23"/>
                <w:lang w:val="pl-PL" w:eastAsia="en-US" w:bidi="ar-SA"/>
              </w:rPr>
              <w:t>, „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Ruch Biblijny i Liturgiczny” 44(1991), s. 47-53.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i/>
                <w:iCs/>
                <w:spacing w:val="-3"/>
                <w:kern w:val="0"/>
                <w:sz w:val="22"/>
                <w:szCs w:val="22"/>
                <w:lang w:val="pl-PL" w:eastAsia="en-US" w:bidi="ar-SA"/>
              </w:rPr>
              <w:t>Rodzina w społeczeństwach antycznych i wczesnym chrześcijaństwie. Literatura, prawo, epigrafika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, sztuka, red. J. Jundziłł, Bydgoszcz 1995.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Dmitruk M.,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Obyczaje weselne i pogrzebowe chrześcijan w świetle duszpasterskiej działalności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„Vox Patrum” 21(2001), t. 40-41, s. 263-291.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Kołosowski T.,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Wychowanie religijno-moralne dzieci w rodzinie w świetle traktatu „O wychowaniu dzieci”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„Seminare” 17(2001), s. 405-420.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Krykowski J.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Nauka o małżeństwie, rodzinie i wychowaniu u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(wstęp), w: Św. Jan Chryzostom,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O małżeństwie, wychowaniu dzieci i ascezie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przekład zbiorowy, [Biblioteka Ojców Kościoła, t. 19], Kraków 2002, s. 17-43.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Flandrin J.-L., Historia rodziny, Warszawa 1998.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2"/>
                <w:sz w:val="22"/>
                <w:szCs w:val="22"/>
                <w:lang w:val="pl-PL" w:eastAsia="pl-PL" w:bidi="ar-SA"/>
              </w:rPr>
              <w:t>Khurshid Ahamad, Rodzina w islamie, Wrocław 2002.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Rosik M., Wybrani przez Boga. Tak żyli pierwsi chrześcijanie, Kraków 2024.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Uciecha A.,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Rola ojca w procesie wychowania domowego na podstawie traktatu św. Jana Chryzostoma „O wychowaniu dzieci”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, w: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Dziecko w rodzinie i społeczeństwie. Starożytność-średniowiecze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red. J. Jundziłł, D. Żołądź-Strzelczyk, Bydgoszcz 2002, s. 205-218.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Wachowicz A.,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Czystość małżeńska według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„Colloquia Theologica Ottoniana” 2007, nr 1, s. 35-75.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Szczur P.,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Problematyka społeczna w późnoantycznej Antiochii na podstawie nauczania homiletycznego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Lublin 2008, s. 293-360.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Longosz S.,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Geneza pojęcia „rodzina kościołem domowym” w tradycji patrystycznej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, w: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Rodzina jako kościół domowy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red. A. Tomkiewicz, W. Wieczorek, Lublin 2010, s. 35-45.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2"/>
                <w:sz w:val="22"/>
                <w:szCs w:val="22"/>
                <w:lang w:val="pl-PL" w:eastAsia="pl-PL" w:bidi="ar-SA"/>
              </w:rPr>
              <w:t xml:space="preserve">Rodzina żydowska 1939-1945. Wybrane zagadnienia, red. </w:t>
            </w:r>
            <w:hyperlink r:id="rId2">
              <w:r>
                <w:rPr>
                  <w:rFonts w:eastAsia="Times New Roman" w:cs="Calibri" w:cstheme="minorHAnsi"/>
                  <w:kern w:val="0"/>
                  <w:sz w:val="22"/>
                  <w:szCs w:val="22"/>
                  <w:lang w:val="pl-PL" w:eastAsia="pl-PL" w:bidi="ar-SA"/>
                </w:rPr>
                <w:t>M. Grądzka-Rejak</w:t>
              </w:r>
            </w:hyperlink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</w:t>
            </w:r>
            <w:hyperlink r:id="rId3">
              <w:r>
                <w:rPr>
                  <w:rFonts w:eastAsia="Times New Roman" w:cs="Calibri" w:cstheme="minorHAnsi"/>
                  <w:kern w:val="0"/>
                  <w:sz w:val="22"/>
                  <w:szCs w:val="22"/>
                  <w:lang w:val="pl-PL" w:eastAsia="pl-PL" w:bidi="ar-SA"/>
                </w:rPr>
                <w:t>K. Zieliński</w:t>
              </w:r>
            </w:hyperlink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Kraków 2024.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Gies J., Gies F., Życie średniowiecznej rodziny, Kraków 2020.</w:t>
            </w:r>
          </w:p>
          <w:p>
            <w:pPr>
              <w:pStyle w:val="Normal"/>
              <w:widowControl/>
              <w:spacing w:lineRule="auto" w:line="240" w:before="0" w:after="0"/>
              <w:ind w:left="708" w:right="0" w:hanging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Kobieta i rodzina w średniowieczu i na progu czasów nowożytnych, red. Z. H. Nowak, A. Radzimiński, Toruń 1998.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Drączkowski F.,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Świętość małżeństwa i rodziny według Klemensa Aleksan</w:t>
              <w:softHyphen/>
              <w:t>dryjskie</w:t>
              <w:softHyphen/>
              <w:t>go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„Vox Patrum” 5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(1985), t. 8-9, s. 95-125.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Hamman A. G.,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Życie codzienne pierwszych chrześcijan, Warszawa 1900. 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Vox Patrum” 5(1985), t. 8-9 – cały tom.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eastAsia="Arial Unicode MS" w:cs="Calibri" w:cstheme="minorHAnsi"/>
                <w:lang w:eastAsia="pl-PL"/>
              </w:rPr>
            </w:pP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Longosz S., </w:t>
            </w:r>
            <w:r>
              <w:rPr>
                <w:rFonts w:eastAsia="Arial Unicode MS" w:cs="Calibri" w:cstheme="minorHAnsi"/>
                <w:i/>
                <w:iCs/>
                <w:kern w:val="0"/>
                <w:sz w:val="22"/>
                <w:szCs w:val="22"/>
                <w:lang w:val="pl-PL" w:eastAsia="pl-PL" w:bidi="ar-SA"/>
              </w:rPr>
              <w:t>Antykoncepcja i aborcja w ocenie św. Jana Chryzostoma</w:t>
            </w: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>, „Roczniki Teologiczne” 54(2007), z. 10, s. 279-301.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eastAsia="Arial Unicode MS" w:cs="Calibri" w:cstheme="minorHAnsi"/>
                <w:lang w:eastAsia="pl-PL"/>
              </w:rPr>
            </w:pP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Czyżewski B., </w:t>
            </w:r>
            <w:r>
              <w:rPr>
                <w:rFonts w:eastAsia="Arial Unicode MS" w:cs="Calibri" w:cstheme="minorHAnsi"/>
                <w:i/>
                <w:iCs/>
                <w:kern w:val="0"/>
                <w:sz w:val="22"/>
                <w:szCs w:val="22"/>
                <w:lang w:val="pl-PL" w:eastAsia="pl-PL" w:bidi="ar-SA"/>
              </w:rPr>
              <w:t>„Pater familias” i jego zadania według św. Jana Chryzostoma</w:t>
            </w: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>, „Vox Patrum” 29(2009), t. 53-54, s. 205-221.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eastAsia="Arial Unicode MS" w:cs="Calibri" w:cstheme="minorHAnsi"/>
                <w:lang w:eastAsia="pl-PL"/>
              </w:rPr>
            </w:pP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Jurkiewicz J., </w:t>
            </w:r>
            <w:r>
              <w:rPr>
                <w:rFonts w:eastAsia="Arial Unicode MS" w:cs="Calibri" w:cstheme="minorHAnsi"/>
                <w:i/>
                <w:iCs/>
                <w:kern w:val="0"/>
                <w:sz w:val="22"/>
                <w:szCs w:val="22"/>
                <w:lang w:val="pl-PL" w:eastAsia="pl-PL" w:bidi="ar-SA"/>
              </w:rPr>
              <w:t>„Mater familias” w nauczaniu św. Jana Chryzostoma</w:t>
            </w: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>, „Vox Patrum” 29(2009), t. 53-54, s. 223-231.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Vox Patrum” 29(2009), t. 53-54 – cały tom.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Wipper R. J., Rzym i wczesne chrześcijaństwo, Warszawa 1960. 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Babik M., Współżycie seksualne w nauczaniu biblijnym, Kraków 2007.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0e7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91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onito.pl/autor/Martyna+Gr&#261;dzka-Rejak/" TargetMode="External"/><Relationship Id="rId3" Type="http://schemas.openxmlformats.org/officeDocument/2006/relationships/hyperlink" Target="https://bonito.pl/autor/Konrad+Zieli&#324;ski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LibreOffice/7.5.6.2$Windows_X86_64 LibreOffice_project/f654817fb68d6d4600d7d2f6b647e47729f55f15</Application>
  <AppVersion>15.0000</AppVersion>
  <Pages>4</Pages>
  <Words>1024</Words>
  <Characters>7317</Characters>
  <CharactersWithSpaces>8221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2025-11-20T09:35:00Z</dcterms:created>
  <dc:creator>wlodos</dc:creator>
  <dc:description/>
  <dc:language>pl-PL</dc:language>
  <cp:lastModifiedBy>Katarzyna Zielińska - Król</cp:lastModifiedBy>
  <cp:lastPrinted>2025-01-21T21:37:00Z</cp:lastPrinted>
  <dcterms:modified xsi:type="dcterms:W3CDTF">2025-11-20T09:35:00Z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