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spacing w:before="0" w:after="120"/>
        <w:rPr/>
      </w:pPr>
      <w:r>
        <w:rPr/>
        <w:t>Cykl kształcenia od roku akademickiego: 2025/026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6"/>
        <w:gridCol w:w="4515"/>
      </w:tblGrid>
      <w:tr>
        <w:trPr/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Pedagogika rodziny 2.0</w:t>
            </w:r>
          </w:p>
        </w:tc>
      </w:tr>
      <w:tr>
        <w:trPr/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Family Pedagogy 2.0 </w:t>
            </w:r>
          </w:p>
        </w:tc>
      </w:tr>
      <w:tr>
        <w:trPr/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Interdyscyplinarne Studia nad Małżeństwem i Rodziną </w:t>
            </w:r>
          </w:p>
        </w:tc>
      </w:tr>
      <w:tr>
        <w:trPr/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II</w:t>
            </w:r>
          </w:p>
        </w:tc>
      </w:tr>
      <w:tr>
        <w:trPr/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pedagogika </w:t>
            </w:r>
          </w:p>
        </w:tc>
      </w:tr>
      <w:tr>
        <w:trPr/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  <w:tr>
        <w:trPr/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zaliczenia</w:t>
            </w:r>
          </w:p>
        </w:tc>
        <w:tc>
          <w:tcPr>
            <w:tcW w:w="4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egzamin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1"/>
        <w:gridCol w:w="4520"/>
      </w:tblGrid>
      <w:tr>
        <w:trPr/>
        <w:tc>
          <w:tcPr>
            <w:tcW w:w="4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</w:t>
            </w:r>
          </w:p>
        </w:tc>
        <w:tc>
          <w:tcPr>
            <w:tcW w:w="45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 Agnieszka Linca-Ćwikła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2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laboratorium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lektorat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praktyki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zajęcia terenowe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pracownia dyplomowa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translatorium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wizyta studyjna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4"/>
        <w:gridCol w:w="6847"/>
      </w:tblGrid>
      <w:tr>
        <w:trPr/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Podstawowa wiedza z zakresu pedagogiki ogólnej 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C1 Pogłębienie wiedzy z zakresu pedagogiki rodziny jako subdyscypliny pedagogiki 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C2 Ukazanie rodziny jako podstawowego i niezastąpionego środowiska wychowawczego 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C3 </w:t>
            </w:r>
            <w:r>
              <w:rPr>
                <w:rStyle w:val="Mocnowyrniony"/>
                <w:rFonts w:eastAsia="Calibri" w:cs="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Rozwijanie umiejętności analizy funkcji wychowawczej rodziny i jej uwarunkowań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, a także kształtowanie refleksyjnej i odpowiedzialnej postawy wobec problemów wychowania w rodzinie we współczesnym społeczeństwie. 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5831"/>
        <w:gridCol w:w="2138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zna w pogłębiony sposób teoretyczne podstawy pedagogiki rodziny - charakteryzuje jej specyfikę przedmiotową i metodologiczną, rozumie jej źródła, zakresy, paradygmaty pedagogiczne oraz terminologię używaną w pedagogice rodziny 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K_W01 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rozumie pedagogiczne uwarunkowania funkcjonowania rodziny jako środowiska wychowawczego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K_W01 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l-PL" w:eastAsia="pl-PL" w:bidi="ar-SA"/>
              </w:rPr>
              <w:t>Student potrafi przedstawiać i oceniać różne opinie i stanowiska dotyczące zjawisk wychowawczych w rodzinie oraz dyskutować o nich, popierając je argumentacją osadzoną w kontekście wybranych perspektyw teoretycznych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K_U01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jest gotów do </w:t>
            </w:r>
            <w:r>
              <w:rPr>
                <w:rStyle w:val="Mocnowyrniony"/>
                <w:rFonts w:eastAsia="Calibri" w:cs="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uznawania znaczenia pedagogicznej wiedzy o rodzinie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w rozwiązywaniu problemów wychowawczych, opiekuńczych i edukacyjnych pojawiających się w życiu małżeńskim i rodzinnym.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K_K01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Pedagogika rodziny jako subdyscyplina pedagogiki.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Wartość rodziny w rozwoju człowieka – ujęcie pedagogiczne.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Rodzina jako podstawowe środowisko wychowania.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Prawo rodziny do wychowania i jego znaczenie pedagogiczne.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Funkcja wychowawcza rodziny – istota i zakres.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Atmosfera rodzinna jako czynnik wychowania.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Struktura rodziny a proces wychowawczy.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Kultura środowiska rodzinnego i jej wpływ na wychowanie.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Rodzice jako osoby znaczące w procesie wychowania.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Dziecko jako podmiot wychowania w rodzinie.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Rodzina jako pierwsza szkoła wartości i miłości.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Wychowanie do wolności i odpowiedzialności w rodzinie.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Współczesne wyzwania dla funkcji wychowawczej rodziny.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Pedagogika rodziny 2.0 – kierunki rozwoju i refleksja krytyczna.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51" w:type="dxa"/>
        <w:jc w:val="left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9"/>
        <w:gridCol w:w="2652"/>
        <w:gridCol w:w="2773"/>
        <w:gridCol w:w="2546"/>
      </w:tblGrid>
      <w:tr>
        <w:trPr/>
        <w:tc>
          <w:tcPr>
            <w:tcW w:w="10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7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5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wykład problemowy 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egzamin pisemny</w:t>
            </w:r>
          </w:p>
        </w:tc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sprawdzona praca pisemna</w:t>
            </w:r>
          </w:p>
        </w:tc>
      </w:tr>
      <w:tr>
        <w:trPr>
          <w:trHeight w:val="329" w:hRule="atLeast"/>
        </w:trPr>
        <w:tc>
          <w:tcPr>
            <w:tcW w:w="1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2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wykład konwersatoryjny 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dzienniku ocen</w:t>
            </w:r>
          </w:p>
        </w:tc>
      </w:tr>
      <w:tr>
        <w:trPr/>
        <w:tc>
          <w:tcPr>
            <w:tcW w:w="905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wykład konwersatoryjny 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dzienniku ocen</w:t>
            </w:r>
          </w:p>
        </w:tc>
      </w:tr>
      <w:tr>
        <w:trPr/>
        <w:tc>
          <w:tcPr>
            <w:tcW w:w="905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wykład konwersatoryjny 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dzienniku ocen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 xml:space="preserve">Kryteria oceny </w:t>
      </w:r>
    </w:p>
    <w:p>
      <w:pPr>
        <w:pStyle w:val="Tretekstu"/>
        <w:spacing w:before="0" w:after="0"/>
        <w:jc w:val="both"/>
        <w:rPr/>
      </w:pPr>
      <w:r>
        <w:rPr/>
        <w:t xml:space="preserve">− </w:t>
      </w:r>
      <w:r>
        <w:rPr/>
        <w:t>praca pisemna 60%,</w:t>
      </w:r>
    </w:p>
    <w:p>
      <w:pPr>
        <w:pStyle w:val="Tretekstu"/>
        <w:spacing w:before="0" w:after="0"/>
        <w:jc w:val="both"/>
        <w:rPr/>
      </w:pPr>
      <w:r>
        <w:rPr/>
        <w:t xml:space="preserve"> − </w:t>
      </w:r>
      <w:r>
        <w:rPr/>
        <w:t xml:space="preserve">aktywny udział w zajęciach i dyskusjach 40%. </w:t>
      </w:r>
    </w:p>
    <w:p>
      <w:pPr>
        <w:pStyle w:val="Tretekstu"/>
        <w:spacing w:before="0" w:after="0"/>
        <w:jc w:val="both"/>
        <w:rPr/>
      </w:pPr>
      <w:r>
        <w:rPr/>
        <w:t>Kryteria oceniania pracy pisemnej:</w:t>
      </w:r>
    </w:p>
    <w:p>
      <w:pPr>
        <w:pStyle w:val="Tretekstu"/>
        <w:spacing w:before="0" w:after="0"/>
        <w:jc w:val="both"/>
        <w:rPr/>
      </w:pPr>
      <w:r>
        <w:rPr/>
        <w:t xml:space="preserve"> − </w:t>
      </w:r>
      <w:r>
        <w:rPr/>
        <w:t>praca zawiera wszystkie elementy pod względem formalnym i jest w 91-100% poprawna merytorycznie - ocena 5,0</w:t>
      </w:r>
    </w:p>
    <w:p>
      <w:pPr>
        <w:pStyle w:val="Tretekstu"/>
        <w:spacing w:before="0" w:after="0"/>
        <w:jc w:val="both"/>
        <w:rPr/>
      </w:pPr>
      <w:r>
        <w:rPr/>
        <w:t xml:space="preserve"> − </w:t>
      </w:r>
      <w:r>
        <w:rPr/>
        <w:t xml:space="preserve">praca zawiera wszystkie elementy pod względem formalnym i jest 81 - 90% poprawna merytorycznie - ocena 4,5 </w:t>
      </w:r>
    </w:p>
    <w:p>
      <w:pPr>
        <w:pStyle w:val="Tretekstu"/>
        <w:spacing w:before="0" w:after="0"/>
        <w:jc w:val="both"/>
        <w:rPr/>
      </w:pPr>
      <w:r>
        <w:rPr/>
        <w:t>- praca zawiera większość elementy pod względem formalnym i jest 71 - 80% poprawna merytorycznie - ocena 4,0</w:t>
      </w:r>
    </w:p>
    <w:p>
      <w:pPr>
        <w:pStyle w:val="Tretekstu"/>
        <w:spacing w:before="0" w:after="0"/>
        <w:jc w:val="both"/>
        <w:rPr/>
      </w:pPr>
      <w:r>
        <w:rPr/>
        <w:t xml:space="preserve"> − </w:t>
      </w:r>
      <w:r>
        <w:rPr/>
        <w:t>praca zawiera dużą część elementów pod względem formalnym i jest 61 - 70% poprawna merytorycznie - ocena 3,5</w:t>
      </w:r>
    </w:p>
    <w:p>
      <w:pPr>
        <w:pStyle w:val="Tretekstu"/>
        <w:spacing w:before="0" w:after="0"/>
        <w:jc w:val="both"/>
        <w:rPr/>
      </w:pPr>
      <w:r>
        <w:rPr/>
        <w:t xml:space="preserve"> − </w:t>
      </w:r>
      <w:r>
        <w:rPr/>
        <w:t xml:space="preserve">praca zawiera dużą część elementów pod względem formalnym i jest 50 - 60% poprawna merytorycznie - ocena 3,0 </w:t>
      </w:r>
    </w:p>
    <w:p>
      <w:pPr>
        <w:pStyle w:val="ListParagraph"/>
        <w:spacing w:before="0" w:after="0"/>
        <w:ind w:left="1080" w:hanging="0"/>
        <w:contextualSpacing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 xml:space="preserve">Bilans punktów ECTS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47"/>
        <w:gridCol w:w="3751"/>
        <w:gridCol w:w="2964"/>
      </w:tblGrid>
      <w:tr>
        <w:trPr/>
        <w:tc>
          <w:tcPr>
            <w:tcW w:w="609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Liczba godzin (1h = 45 minut)  </w:t>
            </w:r>
          </w:p>
        </w:tc>
      </w:tr>
      <w:tr>
        <w:trPr/>
        <w:tc>
          <w:tcPr>
            <w:tcW w:w="609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Udział w zajęciach       </w:t>
            </w:r>
          </w:p>
        </w:tc>
        <w:tc>
          <w:tcPr>
            <w:tcW w:w="29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234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Praca własna studenta</w:t>
            </w:r>
            <w:r>
              <w:rPr>
                <w:rStyle w:val="Zakotwiczenieprzypisukocowego"/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endnoteReference w:id="2"/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Przygotowanie do egzaminu</w:t>
            </w:r>
          </w:p>
        </w:tc>
        <w:tc>
          <w:tcPr>
            <w:tcW w:w="2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20</w:t>
            </w:r>
          </w:p>
        </w:tc>
      </w:tr>
      <w:tr>
        <w:trPr/>
        <w:tc>
          <w:tcPr>
            <w:tcW w:w="23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Przygotowanie do zajęć </w:t>
            </w:r>
          </w:p>
        </w:tc>
        <w:tc>
          <w:tcPr>
            <w:tcW w:w="2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25</w:t>
            </w:r>
          </w:p>
        </w:tc>
      </w:tr>
      <w:tr>
        <w:trPr/>
        <w:tc>
          <w:tcPr>
            <w:tcW w:w="23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3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3"/>
        <w:gridCol w:w="2269"/>
        <w:gridCol w:w="2270"/>
      </w:tblGrid>
      <w:tr>
        <w:trPr/>
        <w:tc>
          <w:tcPr>
            <w:tcW w:w="4523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Łączny nakład pracy studenta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Liczba ECTS</w:t>
            </w:r>
          </w:p>
        </w:tc>
      </w:tr>
      <w:tr>
        <w:trPr>
          <w:trHeight w:val="345" w:hRule="atLeast"/>
        </w:trPr>
        <w:tc>
          <w:tcPr>
            <w:tcW w:w="452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75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Cs/>
                <w:kern w:val="0"/>
                <w:sz w:val="20"/>
                <w:szCs w:val="20"/>
                <w:lang w:val="pl-PL" w:eastAsia="en-US" w:bidi="ar-SA"/>
              </w:rPr>
              <w:t xml:space="preserve">Opozda D.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Kryteria opisu orientacji wychowawczych z indywidualizmem i kolektywizmem w tle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„Roczniki Pedagogiczne“, 2012 4(40)2, s. 5-31.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Opozda D. Parzyszek M., Wychowanie w rodzinie w wybranych zagadnieniach Pedagogicznych, Lublin 2019, s. 11-75.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Wilk J., Pedagogika rodziny. Zagadnienia wybrane, Lublin 2002,  (wydanie z 2016 i 2021).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Izdebska J., Dziecko - dzieciństwo - rodzina - wychowanie rodzinne. Kategorie pedagogiki rodziny w perspektywie pedagogiki personalistycznej, Białystok 2015, s. 99-149.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Kukołowicz T. Rodzina wychowuje, Stalowa Wola 1996.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eastAsia="Calibri" w:cs="" w:ascii="Carlito" w:hAnsi="Carlito"/>
                <w:color w:val="222222"/>
                <w:kern w:val="0"/>
                <w:sz w:val="19"/>
                <w:szCs w:val="20"/>
                <w:lang w:val="pl-PL" w:eastAsia="en-US" w:bidi="ar-SA"/>
              </w:rPr>
              <w:t xml:space="preserve">Linca-Ćwikła, A. (2021). Ojcostwo wspierające macierzyństwo. </w:t>
            </w:r>
            <w:r>
              <w:rPr>
                <w:rStyle w:val="Wyrnienie"/>
                <w:rFonts w:eastAsia="Calibri" w:cs="" w:ascii="Carlito" w:hAnsi="Carlito"/>
                <w:color w:val="222222"/>
                <w:kern w:val="0"/>
                <w:sz w:val="19"/>
                <w:szCs w:val="20"/>
                <w:lang w:val="pl-PL" w:eastAsia="en-US" w:bidi="ar-SA"/>
              </w:rPr>
              <w:t>Ateneum Kapłańskie</w:t>
            </w:r>
            <w:r>
              <w:rPr>
                <w:rFonts w:eastAsia="Calibri" w:cs="" w:ascii="Carlito" w:hAnsi="Carlito"/>
                <w:color w:val="222222"/>
                <w:kern w:val="0"/>
                <w:sz w:val="19"/>
                <w:szCs w:val="20"/>
                <w:lang w:val="pl-PL" w:eastAsia="en-US" w:bidi="ar-SA"/>
              </w:rPr>
              <w:t>, 2(675), 245-256.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eastAsia="Calibri" w:cs="" w:ascii="Carlito" w:hAnsi="Carlito"/>
                <w:color w:val="222222"/>
                <w:kern w:val="0"/>
                <w:sz w:val="19"/>
                <w:szCs w:val="20"/>
                <w:lang w:val="pl-PL" w:eastAsia="en-US" w:bidi="ar-SA"/>
              </w:rPr>
              <w:t xml:space="preserve">Linca-Ćwikła, A. (2017). Wychowanie fizyczne i zdrowotne w rodzinie. W:  Podejście systemowe, T.2: Wychowanie rodzinne, M. Marczewski, R. Gawrych, D. Opozda, T. Sakowicz, P. Skrzydlewski, Wyższa Szkoła Społeczno-Ekonomiczna, Gdańsk. s.  251-272. 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headerReference w:type="default" r:id="rId2"/>
      <w:footerReference w:type="default" r:id="rId3"/>
      <w:endnotePr>
        <w:numFmt w:val="decimal"/>
      </w:end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widowControl w:val="false"/>
        <w:rPr/>
      </w:pPr>
      <w:r>
        <w:rPr>
          <w:rStyle w:val="Znakiprzypiswkocowych"/>
        </w:rPr>
        <w:endnoteRef/>
      </w:r>
      <w:r>
        <w:rPr/>
        <w:t xml:space="preserve"> </w:t>
      </w:r>
      <w:r>
        <w:rPr/>
        <w:t xml:space="preserve">Proszę podać typ aktywności i uśrednioną liczbę godzin 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rlito">
    <w:altName w:val="Calibri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 w:customStyle="1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756140"/>
    <w:rPr>
      <w:sz w:val="20"/>
      <w:szCs w:val="20"/>
    </w:rPr>
  </w:style>
  <w:style w:type="character" w:styleId="Zakotwiczenieprzypisukocowego" w:customStyle="1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756140"/>
    <w:rPr>
      <w:vertAlign w:val="superscript"/>
    </w:rPr>
  </w:style>
  <w:style w:type="character" w:styleId="Znakiprzypiswkocowych" w:customStyle="1">
    <w:name w:val="Znaki przypisów końcowych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Mocnowyrniony" w:customStyle="1">
    <w:name w:val="Mocno wyróżniony"/>
    <w:qFormat/>
    <w:rPr>
      <w:b/>
      <w:bCs/>
    </w:rPr>
  </w:style>
  <w:style w:type="character" w:styleId="Wyrnienie" w:customStyle="1">
    <w:name w:val="Emphasis"/>
    <w:qFormat/>
    <w:rPr>
      <w:i/>
      <w:iCs/>
    </w:rPr>
  </w:style>
  <w:style w:type="character" w:styleId="Zakotwiczenieprzypisudolnego" w:customStyle="1">
    <w:name w:val="Footnote Reference"/>
    <w:rPr>
      <w:vertAlign w:val="superscript"/>
    </w:rPr>
  </w:style>
  <w:style w:type="character" w:styleId="Znakiprzypiswdolnych" w:customStyle="1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756140"/>
    <w:pPr>
      <w:spacing w:lineRule="auto" w:line="240" w:before="0" w:after="0"/>
    </w:pPr>
    <w:rPr>
      <w:sz w:val="20"/>
      <w:szCs w:val="20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endnotes" Target="end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2A19-3D12-439F-9045-8A4AD648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LibreOffice/7.5.6.2$Windows_X86_64 LibreOffice_project/f654817fb68d6d4600d7d2f6b647e47729f55f15</Application>
  <AppVersion>15.0000</AppVersion>
  <DocSecurity>0</DocSecurity>
  <Pages>5</Pages>
  <Words>695</Words>
  <Characters>4632</Characters>
  <CharactersWithSpaces>5247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2026-02-24T17:27:00Z</dcterms:created>
  <dc:creator>Anna Łukasiewicz</dc:creator>
  <dc:description/>
  <dc:language>pl-PL</dc:language>
  <cp:lastModifiedBy>Katarzyna Zielińska - Król</cp:lastModifiedBy>
  <cp:lastPrinted>2019-01-23T11:10:00Z</cp:lastPrinted>
  <dcterms:modified xsi:type="dcterms:W3CDTF">2026-02-24T17:27:00Z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