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rPr/>
      </w:pPr>
      <w:r>
        <w:rPr>
          <w:b/>
          <w:bCs/>
        </w:rPr>
        <w:t xml:space="preserve">KARTA PRZEDMIOTU </w:t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spacing w:before="0" w:after="120"/>
        <w:ind w:left="1077" w:hanging="720"/>
        <w:contextualSpacing/>
        <w:rPr>
          <w:b/>
        </w:rPr>
      </w:pPr>
      <w:r>
        <w:rPr>
          <w:b/>
        </w:rPr>
        <w:t>Dane podstawowe</w:t>
      </w:r>
    </w:p>
    <w:tbl>
      <w:tblPr>
        <w:tblW w:w="9262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05"/>
        <w:gridCol w:w="4656"/>
      </w:tblGrid>
      <w:tr>
        <w:trPr>
          <w:trHeight w:val="283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Nazwa przedmiot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Cs/>
              </w:rPr>
            </w:pPr>
            <w:r>
              <w:rPr>
                <w:bCs/>
              </w:rPr>
              <w:t>Psychologia rozwojowa</w:t>
            </w:r>
          </w:p>
        </w:tc>
      </w:tr>
      <w:tr>
        <w:trPr>
          <w:trHeight w:val="283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Nazwa przedmiotu w języku angielskim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agwek2"/>
              <w:widowControl w:val="false"/>
              <w:numPr>
                <w:ilvl w:val="1"/>
                <w:numId w:val="1"/>
              </w:numPr>
              <w:snapToGrid w:val="false"/>
              <w:spacing w:lineRule="auto" w:line="240" w:before="0" w:after="0"/>
              <w:rPr>
                <w:rFonts w:ascii="Calibri" w:hAnsi="Calibri" w:cs="Calibri"/>
                <w:b w:val="false"/>
                <w:i/>
                <w:i/>
                <w:iCs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i/>
                <w:iCs/>
                <w:sz w:val="22"/>
                <w:szCs w:val="22"/>
              </w:rPr>
              <w:t>Developmental psychology</w:t>
            </w:r>
          </w:p>
        </w:tc>
      </w:tr>
      <w:tr>
        <w:trPr>
          <w:trHeight w:val="283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Kierunek studiów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lang w:val="en-GB"/>
              </w:rPr>
              <w:t>Interdyscyplinarne Studia nad Małżeństwem i Rodziną</w:t>
            </w:r>
          </w:p>
        </w:tc>
      </w:tr>
      <w:tr>
        <w:trPr>
          <w:trHeight w:val="283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Poziom studiów (I, II, jednolite magisterskie)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  <w:t xml:space="preserve">II </w:t>
            </w:r>
          </w:p>
        </w:tc>
      </w:tr>
      <w:tr>
        <w:trPr>
          <w:trHeight w:val="283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Forma studiów (stacjonarne, niestacjonarne)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  <w:t>Stacjonarne</w:t>
            </w:r>
          </w:p>
        </w:tc>
      </w:tr>
      <w:tr>
        <w:trPr>
          <w:trHeight w:val="283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Dyscyplina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  <w:t>Psychologia</w:t>
            </w:r>
          </w:p>
        </w:tc>
      </w:tr>
      <w:tr>
        <w:trPr>
          <w:trHeight w:val="283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Język wykładowy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  <w:t>Polski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W w:w="9262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05"/>
        <w:gridCol w:w="4656"/>
      </w:tblGrid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Koordynator przedmiotu/osoba odpowiedzialna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Dr hab. Julia. Gorbaniuk, prof. KUL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10"/>
        <w:gridCol w:w="2093"/>
        <w:gridCol w:w="1955"/>
        <w:gridCol w:w="2513"/>
      </w:tblGrid>
      <w:tr>
        <w:trPr/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Forma zajęć</w:t>
            </w:r>
            <w:r>
              <w:rPr/>
              <w:t xml:space="preserve"> </w:t>
            </w:r>
            <w:r>
              <w:rPr>
                <w:i/>
              </w:rPr>
              <w:t>(katalog zamknięty ze słownika)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Semestr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Punkty ECTS</w:t>
            </w:r>
          </w:p>
        </w:tc>
      </w:tr>
      <w:tr>
        <w:trPr>
          <w:trHeight w:val="284" w:hRule="atLeast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Wykład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  <w:t>15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  <w:t>I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/>
      </w:pPr>
      <w:r>
        <w:rPr/>
      </w:r>
    </w:p>
    <w:tbl>
      <w:tblPr>
        <w:tblW w:w="9262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34"/>
        <w:gridCol w:w="7027"/>
      </w:tblGrid>
      <w:tr>
        <w:trPr>
          <w:trHeight w:val="476" w:hRule="atLeast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Wymagania wstępne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 w:cstheme="minorHAnsi"/>
              </w:rPr>
              <w:t>W1- zainteresowanie problematyką psychologii rozwoju człowieka.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spacing w:before="0" w:after="120"/>
        <w:ind w:left="1077" w:hanging="720"/>
        <w:contextualSpacing/>
        <w:rPr>
          <w:b/>
        </w:rPr>
      </w:pPr>
      <w:r>
        <w:rPr>
          <w:b/>
        </w:rPr>
        <w:t xml:space="preserve">Cele kształcenia dla przedmiotu </w:t>
      </w:r>
    </w:p>
    <w:tbl>
      <w:tblPr>
        <w:tblW w:w="8808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808"/>
      </w:tblGrid>
      <w:tr>
        <w:trPr>
          <w:trHeight w:val="397" w:hRule="atLeast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Calibri"/>
              </w:rPr>
            </w:pPr>
            <w:r>
              <w:rPr/>
              <w:t>C1 - Przedstawienie wiedzy dotyczącej psychologii rozwojowej i etapów rozwoju człowieka w różnych koncepcjach psychologicznych</w:t>
            </w:r>
          </w:p>
        </w:tc>
      </w:tr>
      <w:tr>
        <w:trPr>
          <w:trHeight w:val="397" w:hRule="atLeast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eastAsia="Times New Roman" w:cs="Calibri"/>
                <w:lang w:eastAsia="pl-PL"/>
              </w:rPr>
            </w:pPr>
            <w:r>
              <w:rPr/>
              <w:t>C2 - Kształtowanie umiejętności określenia psychospołecznej sytuacji osoby na określonym etapie rozwojowym</w:t>
            </w:r>
          </w:p>
        </w:tc>
      </w:tr>
      <w:tr>
        <w:trPr>
          <w:trHeight w:val="397" w:hRule="atLeast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Calibri"/>
              </w:rPr>
            </w:pPr>
            <w:r>
              <w:rPr/>
              <w:t>C3 - Zwiększanie gotowości do zaangażowania się w działania wspierające rozwój i funkcjonowanie człowieka na poszczególnych etapach rozwojowych</w:t>
            </w:r>
          </w:p>
        </w:tc>
      </w:tr>
    </w:tbl>
    <w:p>
      <w:pPr>
        <w:pStyle w:val="Normal"/>
        <w:spacing w:before="0" w:after="120"/>
        <w:rPr>
          <w:b/>
        </w:rPr>
      </w:pPr>
      <w:r>
        <w:rPr>
          <w:b/>
        </w:rPr>
      </w:r>
    </w:p>
    <w:p>
      <w:pPr>
        <w:pStyle w:val="Normal"/>
        <w:spacing w:before="0" w:after="12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W w:w="9262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01"/>
        <w:gridCol w:w="5952"/>
        <w:gridCol w:w="2209"/>
      </w:tblGrid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Symbol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 efektu przedmiotowego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Odniesienie do efektu kierunkowego</w:t>
            </w:r>
          </w:p>
        </w:tc>
      </w:tr>
      <w:tr>
        <w:trPr>
          <w:trHeight w:val="397" w:hRule="atLeast"/>
        </w:trPr>
        <w:tc>
          <w:tcPr>
            <w:tcW w:w="9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WIEDZA</w:t>
            </w:r>
          </w:p>
        </w:tc>
      </w:tr>
      <w:tr>
        <w:trPr>
          <w:trHeight w:val="397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W_01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Student wyjaśnia</w:t>
            </w:r>
            <w:r>
              <w:rPr>
                <w:color w:val="000000" w:themeColor="text1"/>
              </w:rPr>
              <w:t xml:space="preserve">  główne koncepcje dotyczące człowieka w biegu życia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  <w:t>K_W01</w:t>
            </w:r>
          </w:p>
        </w:tc>
      </w:tr>
      <w:tr>
        <w:trPr>
          <w:trHeight w:val="397" w:hRule="atLeast"/>
        </w:trPr>
        <w:tc>
          <w:tcPr>
            <w:tcW w:w="9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UMIEJĘTNOŚCI</w:t>
            </w:r>
          </w:p>
        </w:tc>
      </w:tr>
      <w:tr>
        <w:trPr>
          <w:trHeight w:val="397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U_01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  <w:color w:val="00000A"/>
                <w:lang w:eastAsia="pl-PL"/>
              </w:rPr>
              <w:t xml:space="preserve">Student umie </w:t>
            </w:r>
            <w:r>
              <w:rPr/>
              <w:t>diagnozować potrzeby jednostek i rodzin we współczesnym społeczeństwie oraz wykorzystywać interdyscyplinarną wiedzę do projektowania działań wspierających ich rozwój w różnych okresach życia</w:t>
            </w:r>
            <w:r>
              <w:rPr>
                <w:rFonts w:cs="Calibri"/>
                <w:color w:val="00000A"/>
                <w:lang w:eastAsia="pl-PL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  <w:t>K_U01</w:t>
            </w:r>
          </w:p>
        </w:tc>
      </w:tr>
      <w:tr>
        <w:trPr>
          <w:trHeight w:val="397" w:hRule="atLeast"/>
        </w:trPr>
        <w:tc>
          <w:tcPr>
            <w:tcW w:w="9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KOMPETENCJE SPOŁECZNE</w:t>
            </w:r>
          </w:p>
        </w:tc>
      </w:tr>
      <w:tr>
        <w:trPr>
          <w:trHeight w:val="397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K_01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Calibri"/>
              </w:rPr>
            </w:pPr>
            <w:r>
              <w:rPr/>
              <w:t>Student wyraża gotowość do uznawania znaczenia interdyscyplinarnych umiejętności w kontekście rozwiązywania problemów rozwojowych dotyczących funkcjonowania w małżeństwie i rodzinie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  <w:t>K_K01</w:t>
            </w:r>
          </w:p>
        </w:tc>
      </w:tr>
    </w:tbl>
    <w:p>
      <w:pPr>
        <w:pStyle w:val="ListParagraph"/>
        <w:spacing w:before="0" w:after="0"/>
        <w:ind w:left="0" w:hanging="0"/>
        <w:contextualSpacing w:val="false"/>
        <w:rPr>
          <w:b/>
        </w:rPr>
      </w:pPr>
      <w:r>
        <w:rPr>
          <w:b/>
        </w:rPr>
      </w:r>
    </w:p>
    <w:p>
      <w:pPr>
        <w:pStyle w:val="ListParagraph"/>
        <w:spacing w:before="0" w:after="0"/>
        <w:ind w:left="0" w:hanging="0"/>
        <w:contextualSpacing w:val="false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Opis przedmiotu/ treści programowe</w:t>
      </w:r>
    </w:p>
    <w:tbl>
      <w:tblPr>
        <w:tblW w:w="9262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262"/>
      </w:tblGrid>
      <w:tr>
        <w:trPr>
          <w:trHeight w:val="397" w:hRule="atLeast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false"/>
              <w:spacing w:lineRule="auto" w:line="360" w:before="0"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 xml:space="preserve">Koncepcje rozwoju człowieka w cyklu życia 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false"/>
              <w:spacing w:lineRule="auto" w:line="360" w:before="0"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 xml:space="preserve">Psychologia prenatalna i wczesnodziecięca a jakość więzi rodzinnych 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false"/>
              <w:spacing w:lineRule="auto" w:line="360" w:before="0"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Rozwój emocjonalny i społeczny w biegu życia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false"/>
              <w:spacing w:lineRule="auto" w:line="360" w:before="0"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 xml:space="preserve">Rozwój psychoseksualny i jego znaczenie dla budowania relacji w rodzinie 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false"/>
              <w:spacing w:lineRule="auto" w:line="360" w:before="0"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Etapy rozwoju poznawczego a funkcjonowanie w środowisku rodzinnym i społecznym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false"/>
              <w:spacing w:lineRule="auto" w:line="360" w:before="0"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Wspomaganie rozwoju dzieci i młodzieży w trudnych sytuacjach życiowych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false"/>
              <w:spacing w:lineRule="auto" w:line="360" w:before="0"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 xml:space="preserve">Kryzysy rozwojowe dorosłości i ich konsekwencje dla funkcjonowania małżeńskiego i rodzinnego 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rPr/>
      </w:pPr>
      <w:r>
        <w:rPr>
          <w:b/>
        </w:rPr>
        <w:t>Metody realizacji i weryfikacji efektów uczenia się</w:t>
      </w:r>
    </w:p>
    <w:tbl>
      <w:tblPr>
        <w:tblW w:w="9262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01"/>
        <w:gridCol w:w="2692"/>
        <w:gridCol w:w="2835"/>
        <w:gridCol w:w="2633"/>
      </w:tblGrid>
      <w:tr>
        <w:trPr>
          <w:trHeight w:val="454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Symbol efektu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Metody dydaktyczne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Metody weryfikacji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Sposoby dokumentacji</w:t>
            </w:r>
          </w:p>
        </w:tc>
      </w:tr>
      <w:tr>
        <w:trPr>
          <w:trHeight w:val="454" w:hRule="atLeast"/>
        </w:trPr>
        <w:tc>
          <w:tcPr>
            <w:tcW w:w="9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WIEDZA</w:t>
            </w:r>
          </w:p>
        </w:tc>
      </w:tr>
    </w:tbl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3"/>
        <w:gridCol w:w="2646"/>
        <w:gridCol w:w="2779"/>
        <w:gridCol w:w="2543"/>
      </w:tblGrid>
      <w:tr>
        <w:trPr>
          <w:trHeight w:val="1670" w:hRule="atLeast"/>
        </w:trPr>
        <w:tc>
          <w:tcPr>
            <w:tcW w:w="1093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lang w:val="pl-PL" w:bidi="ar-SA"/>
              </w:rPr>
              <w:t>W_01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lang w:val="pl-PL" w:bidi="ar-SA"/>
              </w:rPr>
              <w:t>Wykład konwersatoryjny z elementami dyskusji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cs="Calibri" w:cstheme="minorHAnsi"/>
              </w:rPr>
            </w:pPr>
            <w:r>
              <w:rPr>
                <w:rFonts w:cs=""/>
                <w:kern w:val="0"/>
                <w:lang w:val="pl-PL" w:bidi="ar-SA"/>
              </w:rPr>
              <w:t>Prezentacja materiałów audiowizualnych (np. filmów)</w:t>
            </w:r>
          </w:p>
        </w:tc>
        <w:tc>
          <w:tcPr>
            <w:tcW w:w="277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lang w:val="pl-PL" w:bidi="ar-SA"/>
              </w:rPr>
              <w:t>Egzamin pisemny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lang w:val="pl-PL" w:bidi="ar-SA"/>
              </w:rPr>
              <w:t>Karta egzaminu pisemnego/protokół ocen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lang w:val="pl-PL" w:bidi="ar-SA"/>
              </w:rPr>
              <w:t>UMIEJĘTNOŚCI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lang w:val="pl-PL" w:bidi="ar-SA"/>
              </w:rPr>
              <w:t>U_01</w:t>
            </w:r>
          </w:p>
        </w:tc>
        <w:tc>
          <w:tcPr>
            <w:tcW w:w="2646" w:type="dxa"/>
            <w:tcBorders/>
          </w:tcPr>
          <w:p>
            <w:pPr>
              <w:pStyle w:val="ListParagraph"/>
              <w:widowControl/>
              <w:spacing w:before="0" w:after="200"/>
              <w:ind w:left="0" w:right="0" w:hanging="0"/>
              <w:contextualSpacing/>
              <w:jc w:val="left"/>
              <w:rPr>
                <w:rFonts w:cs=""/>
                <w:kern w:val="0"/>
                <w:lang w:val="pl-PL" w:bidi="ar-SA"/>
              </w:rPr>
            </w:pPr>
            <w:r>
              <w:rPr>
                <w:rFonts w:cs="Calibri" w:cstheme="minorHAnsi"/>
                <w:kern w:val="0"/>
                <w:lang w:val="pl-PL" w:bidi="ar-SA"/>
              </w:rPr>
              <w:t>Wykład konwersatoryjny z elementami dyskusji</w:t>
            </w:r>
            <w:r>
              <w:rPr>
                <w:rFonts w:cs="Calibri" w:cstheme="minorHAnsi"/>
                <w:kern w:val="0"/>
                <w:lang w:val="pl-PL" w:bidi="ar-SA"/>
              </w:rPr>
              <w:t xml:space="preserve"> </w:t>
            </w:r>
            <w:r>
              <w:rPr>
                <w:rFonts w:cs="Calibri" w:cstheme="minorHAnsi"/>
                <w:i/>
                <w:iCs/>
                <w:kern w:val="0"/>
                <w:lang w:val="pl-PL" w:bidi="ar-SA"/>
              </w:rPr>
              <w:t>Design Thinking</w:t>
            </w:r>
          </w:p>
        </w:tc>
        <w:tc>
          <w:tcPr>
            <w:tcW w:w="2779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>Egzamin pisemny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lang w:val="pl-PL" w:bidi="ar-SA"/>
              </w:rPr>
              <w:t xml:space="preserve">Karta egzaminu pisemnego/ protokół ocen 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lang w:val="pl-PL" w:bidi="ar-SA"/>
              </w:rPr>
              <w:t>KOMPETENCJE SPOŁECZNE</w:t>
            </w:r>
          </w:p>
        </w:tc>
      </w:tr>
      <w:tr>
        <w:trPr>
          <w:trHeight w:val="935" w:hRule="atLeast"/>
        </w:trPr>
        <w:tc>
          <w:tcPr>
            <w:tcW w:w="1093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lang w:val="pl-PL" w:bidi="ar-SA"/>
              </w:rPr>
              <w:t>K_01</w:t>
            </w:r>
          </w:p>
        </w:tc>
        <w:tc>
          <w:tcPr>
            <w:tcW w:w="2646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 xml:space="preserve">Metoda obserwacji uczestniczącej </w:t>
            </w:r>
          </w:p>
        </w:tc>
        <w:tc>
          <w:tcPr>
            <w:tcW w:w="277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lang w:val="pl-PL" w:bidi="ar-SA"/>
              </w:rPr>
              <w:t>Obserwacja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lang w:val="pl-PL" w:bidi="ar-SA"/>
              </w:rPr>
              <w:t>Karta obserwacji aktywności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rPr>
          <w:b/>
        </w:rPr>
      </w:pPr>
      <w:r>
        <w:rPr>
          <w:b/>
          <w:bCs/>
        </w:rPr>
        <w:t>Kryteria oceny i sposoby weryfikacji zakładanych efektów kształcenia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ocenę składają się: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Egzamin – 80%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Aktywność w dyskusji i zadaniach praktycznych – 20%</w:t>
      </w:r>
    </w:p>
    <w:p>
      <w:pPr>
        <w:pStyle w:val="Normal"/>
        <w:spacing w:lineRule="auto" w:line="240" w:before="22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>W przypadku nieobecności sposób nadrabiania treści ustala się z prowadzącym zajęcia.</w:t>
      </w:r>
    </w:p>
    <w:p>
      <w:pPr>
        <w:pStyle w:val="Normal"/>
        <w:spacing w:lineRule="auto" w:line="240" w:before="22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bardzo dobra (5.0)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(W_01) – Student prezentuje pogłębioną i uporządkowaną wiedzę o głównych koncepcjach w psychologii rozwojowej; rozumie ich teoretyczne i praktyczne znaczenie dla pracy z małżeństwem i rodziną. Potrafi analizować zmiany w ujęciu historycznym i współczesnym, integrując wiedzę z różnych nurtów psychologicznych.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(U_01) – Student trafnie diagnozuje potrzeby jednostek i rodzin w różnych etapach życia; samodzielnie projektuje interdyscyplinarne działania wspierające rozwój osoby w kontekście jego relacji małżeńskich i rodzinnych.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(K_01) – Student wykazuje wysoką dojrzałość refleksyjną; aktywnie wykorzystuje interdyscyplinarne umiejętności w analizie i rozwiązywaniu problemów małżeńskich i rodzinnych. Charakteryzuje się empatią, otwartością oraz postawą współpracy.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dobra plus (4.5)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(W_01) – Student prezentuje szeroką wiedzę o głównych kierunkach i tendencjach psychologii rozwojowej; potrafi poprawnie wyjaśniać ich znaczenie dla praktyki, z drobnymi brakami szczegółowymi.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(U_01) – Student diagnozuje potrzeby jednostek i rodzin, projektuje działania wspierające, które są spójne i adekwatne, choć nie zawsze w pełni pogłębione.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(K_01) – Student rozumie wagę interdyscyplinarnych umiejętności w pracy z rodziną, aktywnie uczestniczy w rozwiązywaniu problemów, współpracuje z innymi i wykazuje inicjatywę w pracy grupowej.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dobra (4.0)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(W_01) – Student formułuje w sposób uporządkowany wiedzę na temat głównych nurtów i tendencji rozwoju człowieka w kontekście małżeństwa i rodziny; rozumie ich podstawowe założenia i potrafi je zastosować w analizie praktycznych przykładów.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(U_01) – Student potrafi rozpoznać podstawowe potrzeby jednostek i rodzin oraz zaproponować adekwatne działania wspierające, opierając się na wiedzy z zakresu psychologii i nauk pokrewnych.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(K_01) – Student rozumie znaczenie interdyscyplinarnych umiejętności w pracy doradcy rodzinnego, współpracuje z grupą i podejmuje refleksję nad praktycznymi problemami rodziny.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dostateczna plus (3.5)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(W_01) – Student przedstawia podstawowe kierunki psychologii rozwojowej, lecz jego rozumienie relacji między nimi jest niepełne.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(U_01) – Student podejmuje próby diagnozy potrzeb jednostek i rodzin, jednak wymaga wskazówek prowadzącego przy formułowaniu propozycji działań wspierających.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(K_01) – Student akceptuje znaczenie interdyscyplinarnego podejścia, uczestniczy w pracy grupowej, ale jego zaangażowanie i refleksyjność są ograniczone.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dostateczna (3.0)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(W_01) – Student zna podstawowe pojęcia z zakresu psychologii rozwojowej, lecz ma trudność z przedstawieniem ich w szerszym kontekście teoretycznym.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(U_01) – Student rozpoznaje ogólne potrzeby jednostek i rodzin, lecz jego propozycje działań wspierających są uproszczone lub nie w pełni trafne.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(K_01) – Student dostrzega znaczenie interdyscyplinarności, lecz jego aktywność i współpraca podczas zajęć są ograniczone, a refleksja nad problemami małżeńskimi powierzchowna.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niedostateczna (2.0)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(W_01) – Student nie potrafi sformułować podstawowych pojęć ani głównych koncepcji rozwoju człowieka w odniesieniu do małżeństwa i rodziny. Nie potrafi odnieść teorii do praktyki doradczej.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(U_01) – Student nie potrafi diagnozować potrzeb jednostek i rodzin ani zaprojektować jakichkolwiek działań wspierających. Nie wykorzystuje wiedzy interdyscyplinarnej.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(K_01) – Student nie wykazuje gotowości do współpracy, nie rozumie znaczenia interdyscyplinarnych umiejętności i nie angażuje się w rozwiązywanie problemów małżeńskich i rodzinnych.</w:t>
      </w:r>
    </w:p>
    <w:p>
      <w:pPr>
        <w:pStyle w:val="ListParagraph"/>
        <w:ind w:left="1080" w:hanging="0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suppressAutoHyphens w:val="false"/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3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cs=""/>
                <w:kern w:val="0"/>
                <w:lang w:val="pl-PL" w:bidi="ar-SA"/>
              </w:rPr>
            </w:pPr>
            <w:r>
              <w:rPr>
                <w:rFonts w:cs=""/>
                <w:kern w:val="0"/>
                <w:lang w:val="pl-PL" w:bidi="ar-SA"/>
              </w:rPr>
              <w:t>Forma aktywności studenta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cs=""/>
                <w:kern w:val="0"/>
                <w:lang w:val="pl-PL" w:bidi="ar-SA"/>
              </w:rPr>
            </w:pPr>
            <w:r>
              <w:rPr>
                <w:rFonts w:cs=""/>
                <w:kern w:val="0"/>
                <w:lang w:val="pl-PL" w:bidi="ar-SA"/>
              </w:rPr>
              <w:t>Liczba godzin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cs=""/>
                <w:kern w:val="0"/>
                <w:lang w:val="pl-PL" w:bidi="ar-SA"/>
              </w:rPr>
            </w:pPr>
            <w:r>
              <w:rPr>
                <w:rFonts w:cs=""/>
                <w:kern w:val="0"/>
                <w:lang w:val="pl-PL" w:bidi="ar-SA"/>
              </w:rPr>
              <w:t xml:space="preserve">Liczba godzin kontaktowych z nauczycielem 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i/>
                <w:i/>
                <w:sz w:val="18"/>
                <w:szCs w:val="18"/>
              </w:rPr>
            </w:pPr>
            <w:r>
              <w:rPr>
                <w:rFonts w:cs=""/>
                <w:i/>
                <w:kern w:val="0"/>
                <w:sz w:val="18"/>
                <w:szCs w:val="18"/>
                <w:lang w:val="pl-PL" w:bidi="ar-SA"/>
              </w:rPr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cs=""/>
                <w:kern w:val="0"/>
                <w:lang w:val="pl-PL" w:bidi="ar-SA"/>
              </w:rPr>
            </w:pPr>
            <w:r>
              <w:rPr>
                <w:rFonts w:cs=""/>
                <w:kern w:val="0"/>
                <w:lang w:val="pl-PL" w:bidi="ar-SA"/>
              </w:rPr>
              <w:t>15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cs=""/>
                <w:kern w:val="0"/>
                <w:lang w:val="pl-PL" w:bidi="ar-SA"/>
              </w:rPr>
            </w:pPr>
            <w:r>
              <w:rPr>
                <w:rFonts w:cs=""/>
                <w:kern w:val="0"/>
                <w:lang w:val="pl-PL" w:bidi="ar-SA"/>
              </w:rPr>
              <w:t>Liczba godzin indywidualnej pracy studenta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i/>
                <w:i/>
                <w:sz w:val="18"/>
                <w:szCs w:val="18"/>
              </w:rPr>
            </w:pPr>
            <w:r>
              <w:rPr>
                <w:rFonts w:cs=""/>
                <w:i/>
                <w:kern w:val="0"/>
                <w:sz w:val="18"/>
                <w:szCs w:val="18"/>
                <w:lang w:val="pl-PL" w:bidi="ar-SA"/>
              </w:rPr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cs=""/>
                <w:kern w:val="0"/>
                <w:lang w:val="pl-PL" w:bidi="ar-SA"/>
              </w:rPr>
            </w:pPr>
            <w:r>
              <w:rPr>
                <w:rFonts w:cs=""/>
                <w:kern w:val="0"/>
                <w:lang w:val="pl-PL" w:bidi="ar-SA"/>
              </w:rPr>
              <w:t>35</w:t>
            </w:r>
          </w:p>
        </w:tc>
      </w:tr>
    </w:tbl>
    <w:p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Literatura</w:t>
      </w:r>
    </w:p>
    <w:tbl>
      <w:tblPr>
        <w:tblW w:w="9262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262"/>
      </w:tblGrid>
      <w:tr>
        <w:trPr>
          <w:trHeight w:val="397" w:hRule="atLeast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Literatura podstawowa</w:t>
            </w:r>
          </w:p>
        </w:tc>
      </w:tr>
      <w:tr>
        <w:trPr>
          <w:trHeight w:val="397" w:hRule="atLeast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Brzezińska A. Społeczna psychologia rozwoju. Warszawa: Scholar 2000.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Psychologiczne portrety człowieka. Praktyczna psychologia rozwojowa. Red. A. Brzezińska. Gdańsk: GWP 2005.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Trempała J. Psychologia rozwoju człowieka. Podręcznik Akademicki. Red. Warszawa: PWN 2021. </w:t>
            </w:r>
          </w:p>
        </w:tc>
      </w:tr>
      <w:tr>
        <w:trPr>
          <w:trHeight w:val="397" w:hRule="atLeast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Literatura uzupełniająca (a)</w:t>
            </w:r>
          </w:p>
        </w:tc>
      </w:tr>
      <w:tr>
        <w:trPr>
          <w:trHeight w:val="397" w:hRule="atLeast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agwek2"/>
              <w:widowControl w:val="false"/>
              <w:numPr>
                <w:ilvl w:val="0"/>
                <w:numId w:val="5"/>
              </w:numPr>
              <w:spacing w:lineRule="atLeast" w:line="336" w:before="0" w:after="0"/>
              <w:textAlignment w:val="baseline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>Braun-Gałkowska, M. (1994) W tę samą stronę – książka dla nauczycieli o wychowaniu i lekcjach wychowawczych. Warszawa: Wydawnictwo Krupski i S-ka.</w:t>
            </w:r>
          </w:p>
          <w:p>
            <w:pPr>
              <w:pStyle w:val="Nagwek2"/>
              <w:widowControl w:val="false"/>
              <w:numPr>
                <w:ilvl w:val="0"/>
                <w:numId w:val="5"/>
              </w:numPr>
              <w:spacing w:lineRule="atLeast" w:line="336" w:before="0" w:after="0"/>
              <w:textAlignment w:val="baseline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>Gorbaniuk J., Diagnoza gotowości dzieci z rodzin migracyjnych do komunikacji z innymi w świetle badań rysunkiem „Moja rodzina”, „Roczniki Teologiczne”, 3(58)/2011, s. 277-294.</w:t>
            </w:r>
          </w:p>
          <w:p>
            <w:pPr>
              <w:pStyle w:val="Nagwek2"/>
              <w:widowControl w:val="false"/>
              <w:numPr>
                <w:ilvl w:val="0"/>
                <w:numId w:val="5"/>
              </w:numPr>
              <w:spacing w:lineRule="atLeast" w:line="336" w:before="0" w:after="0"/>
              <w:textAlignment w:val="baseline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Kornas-Biela D., Rozwój człowieka od poczęcia do narodzin, „Służba Życiu”, nr 6/1999, s. 8- 19. 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eastAsia="Times New Roman"/>
          <w:color w:val="333333"/>
          <w:sz w:val="24"/>
          <w:szCs w:val="24"/>
          <w:lang w:eastAsia="pl-PL"/>
        </w:rPr>
      </w:pPr>
      <w:r>
        <w:rPr>
          <w:rFonts w:eastAsia="Times New Roman" w:ascii="Times New Roman" w:hAnsi="Times New Roman"/>
          <w:color w:val="333333"/>
          <w:sz w:val="24"/>
          <w:szCs w:val="24"/>
          <w:lang w:eastAsia="pl-PL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/>
    </w:pPr>
    <w:r>
      <w:rPr>
        <w:i/>
      </w:rPr>
      <w:t>Załącznik nr 5 do dokumentacji programowej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embedSystemFonts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68017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agwek11"/>
    <w:next w:val="Tretekstu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SimSu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5z0" w:customStyle="1">
    <w:name w:val="WW8Num15z0"/>
    <w:qFormat/>
    <w:rPr>
      <w:rFonts w:ascii="Symbol" w:hAnsi="Symbol" w:cs="Symbol"/>
      <w:sz w:val="20"/>
    </w:rPr>
  </w:style>
  <w:style w:type="character" w:styleId="WW8Num15z1" w:customStyle="1">
    <w:name w:val="WW8Num15z1"/>
    <w:qFormat/>
    <w:rPr>
      <w:rFonts w:ascii="Courier New" w:hAnsi="Courier New" w:cs="Courier New"/>
      <w:sz w:val="20"/>
    </w:rPr>
  </w:style>
  <w:style w:type="character" w:styleId="WW8Num15z2" w:customStyle="1">
    <w:name w:val="WW8Num15z2"/>
    <w:qFormat/>
    <w:rPr>
      <w:rFonts w:ascii="Wingdings" w:hAnsi="Wingdings" w:cs="Wingdings"/>
      <w:sz w:val="20"/>
    </w:rPr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>
      <w:rFonts w:ascii="Symbol" w:hAnsi="Symbol" w:cs="Symbol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20z0" w:customStyle="1">
    <w:name w:val="WW8Num20z0"/>
    <w:qFormat/>
    <w:rPr>
      <w:b/>
    </w:rPr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Symbol" w:hAnsi="Symbol" w:cs="Symbol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5z0" w:customStyle="1">
    <w:name w:val="WW8Num25z0"/>
    <w:qFormat/>
    <w:rPr>
      <w:rFonts w:ascii="Symbol" w:hAnsi="Symbol" w:cs="Symbol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Domylnaczcionkaakapitu1" w:customStyle="1">
    <w:name w:val="Domyślna czcionka akapitu1"/>
    <w:qFormat/>
    <w:rPr/>
  </w:style>
  <w:style w:type="character" w:styleId="Tabulatory" w:customStyle="1">
    <w:name w:val="tabulatory"/>
    <w:basedOn w:val="Domylnaczcionkaakapitu1"/>
    <w:qFormat/>
    <w:rPr/>
  </w:style>
  <w:style w:type="character" w:styleId="Czeinternetowe">
    <w:name w:val="Hyperlink"/>
    <w:uiPriority w:val="99"/>
    <w:rPr>
      <w:color w:val="0000FF"/>
      <w:u w:val="single"/>
    </w:rPr>
  </w:style>
  <w:style w:type="character" w:styleId="Access" w:customStyle="1">
    <w:name w:val="access"/>
    <w:basedOn w:val="Domylnaczcionkaakapitu1"/>
    <w:qFormat/>
    <w:rPr/>
  </w:style>
  <w:style w:type="character" w:styleId="Luchili" w:customStyle="1">
    <w:name w:val="luc_hili"/>
    <w:basedOn w:val="Domylnaczcionkaakapitu1"/>
    <w:qFormat/>
    <w:rPr/>
  </w:style>
  <w:style w:type="character" w:styleId="NagwekZnak" w:customStyle="1">
    <w:name w:val="Nagłówek Znak"/>
    <w:basedOn w:val="Domylnaczcionkaakapitu1"/>
    <w:qFormat/>
    <w:rPr/>
  </w:style>
  <w:style w:type="character" w:styleId="StopkaZnak" w:customStyle="1">
    <w:name w:val="Stopka Znak"/>
    <w:basedOn w:val="Domylnaczcionkaakapitu1"/>
    <w:uiPriority w:val="99"/>
    <w:qFormat/>
    <w:rPr/>
  </w:style>
  <w:style w:type="character" w:styleId="TekstdymkaZnak" w:customStyle="1">
    <w:name w:val="Tekst dymka Znak"/>
    <w:qFormat/>
    <w:rPr>
      <w:rFonts w:ascii="Tahoma" w:hAnsi="Tahoma" w:cs="Tahoma"/>
      <w:sz w:val="16"/>
      <w:szCs w:val="16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d26f93"/>
    <w:rPr>
      <w:rFonts w:ascii="Calibri" w:hAnsi="Calibri" w:eastAsia="Calibri"/>
      <w:lang w:eastAsia="zh-CN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d26f93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Nagwek1Znak" w:customStyle="1">
    <w:name w:val="Nagłówek 1 Znak"/>
    <w:basedOn w:val="DefaultParagraphFont"/>
    <w:uiPriority w:val="9"/>
    <w:qFormat/>
    <w:rsid w:val="0068017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zh-CN"/>
    </w:rPr>
  </w:style>
  <w:style w:type="character" w:styleId="Wyrnienie">
    <w:name w:val="Emphasis"/>
    <w:basedOn w:val="DefaultParagraphFont"/>
    <w:uiPriority w:val="20"/>
    <w:qFormat/>
    <w:rsid w:val="000d1617"/>
    <w:rPr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22da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f22dae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estern" w:customStyle="1">
    <w:name w:val="western"/>
    <w:basedOn w:val="Normal"/>
    <w:qFormat/>
    <w:pPr>
      <w:spacing w:lineRule="atLeast" w:line="102" w:before="280" w:after="119"/>
    </w:pPr>
    <w:rPr>
      <w:rFonts w:ascii="Times New Roman" w:hAnsi="Times New Roman" w:eastAsia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eastAsia="zh-CN" w:val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spacing w:lineRule="auto" w:line="240" w:before="0" w:after="0"/>
    </w:pPr>
    <w:rPr/>
  </w:style>
  <w:style w:type="paragraph" w:styleId="Stopka">
    <w:name w:val="Footer"/>
    <w:basedOn w:val="Normal"/>
    <w:uiPriority w:val="99"/>
    <w:pPr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26f93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22dae"/>
    <w:pPr>
      <w:suppressAutoHyphens w:val="false"/>
      <w:spacing w:lineRule="auto" w:line="240"/>
    </w:pPr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74bb3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a52d68-d513-45fd-84e4-640420c4abb5">
      <UserInfo>
        <DisplayName>Janusz Ślusarski</DisplayName>
        <AccountId>74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C59173E752847A0705F17F2125912" ma:contentTypeVersion="9" ma:contentTypeDescription="Utwórz nowy dokument." ma:contentTypeScope="" ma:versionID="41231177592e75f6593267915a84ce28">
  <xsd:schema xmlns:xsd="http://www.w3.org/2001/XMLSchema" xmlns:xs="http://www.w3.org/2001/XMLSchema" xmlns:p="http://schemas.microsoft.com/office/2006/metadata/properties" xmlns:ns2="7d65159d-83d9-4a8f-8be8-61a48b0e952b" xmlns:ns3="95a52d68-d513-45fd-84e4-640420c4abb5" targetNamespace="http://schemas.microsoft.com/office/2006/metadata/properties" ma:root="true" ma:fieldsID="78d6213dd2a2380cbe74338d6dda6cd2" ns2:_="" ns3:_="">
    <xsd:import namespace="7d65159d-83d9-4a8f-8be8-61a48b0e952b"/>
    <xsd:import namespace="95a52d68-d513-45fd-84e4-640420c4a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5159d-83d9-4a8f-8be8-61a48b0e9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52d68-d513-45fd-84e4-640420c4a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6F63F-D114-41C8-B5BF-4E8001B6C2F9}">
  <ds:schemaRefs>
    <ds:schemaRef ds:uri="http://schemas.microsoft.com/office/2006/metadata/properties"/>
    <ds:schemaRef ds:uri="http://schemas.microsoft.com/office/infopath/2007/PartnerControls"/>
    <ds:schemaRef ds:uri="95a52d68-d513-45fd-84e4-640420c4abb5"/>
  </ds:schemaRefs>
</ds:datastoreItem>
</file>

<file path=customXml/itemProps2.xml><?xml version="1.0" encoding="utf-8"?>
<ds:datastoreItem xmlns:ds="http://schemas.openxmlformats.org/officeDocument/2006/customXml" ds:itemID="{3C2C9F24-6952-4B35-BD24-0913D72B7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5159d-83d9-4a8f-8be8-61a48b0e952b"/>
    <ds:schemaRef ds:uri="95a52d68-d513-45fd-84e4-640420c4a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00EF14-D86B-4E18-AC1D-7A25442C9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LibreOffice/7.5.6.2$Windows_X86_64 LibreOffice_project/f654817fb68d6d4600d7d2f6b647e47729f55f15</Application>
  <AppVersion>15.0000</AppVersion>
  <Pages>4</Pages>
  <Words>930</Words>
  <Characters>6555</Characters>
  <CharactersWithSpaces>7378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2025-11-20T09:23:00Z</dcterms:created>
  <dc:creator>Anna Łukasiewicz</dc:creator>
  <dc:description/>
  <dc:language>pl-PL</dc:language>
  <cp:lastModifiedBy>Katarzyna Zielińska - Król</cp:lastModifiedBy>
  <cp:lastPrinted>2019-06-30T20:54:00Z</cp:lastPrinted>
  <dcterms:modified xsi:type="dcterms:W3CDTF">2025-11-20T09:23:00Z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0x010100D13C59173E752847A0705F17F2125912</vt:lpwstr>
  </property>
</Properties>
</file>