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b/>
        </w:rPr>
      </w:pPr>
      <w:r>
        <w:rPr>
          <w:rFonts w:cs="Calibri"/>
          <w:b/>
        </w:rPr>
        <w:t xml:space="preserve">KARTA PRZEDMIOTU </w:t>
      </w:r>
    </w:p>
    <w:p>
      <w:pPr>
        <w:pStyle w:val="Normal"/>
        <w:spacing w:before="0" w:after="120"/>
        <w:rPr/>
      </w:pPr>
      <w:r>
        <w:rPr/>
        <w:t xml:space="preserve">Cykl kształcenia od roku akademickiego: </w:t>
      </w:r>
      <w:r>
        <w:rPr>
          <w:b/>
          <w:bCs/>
        </w:rPr>
        <w:t>2025/2026</w:t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cs="Calibri"/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4"/>
        <w:gridCol w:w="4527"/>
      </w:tblGrid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Savoir vivre 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Savoir-vivre 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I stopień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nauki o rodzinie</w:t>
            </w:r>
          </w:p>
        </w:tc>
      </w:tr>
      <w:tr>
        <w:trPr/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polski 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ks. dr Damian Chrzanowski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Forma zajęć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W1 </w:t>
            </w:r>
            <w:r>
              <w:rPr>
                <w:rFonts w:eastAsia="Symbol" w:cs="Symbol" w:ascii="Symbol" w:hAnsi="Symbol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 Umiejętność samodzielnego wyciągania wniosków na temat życia społecznego na podstawie obserwacji zjawisk kulturowych.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cs="Calibri"/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>
          <w:trHeight w:val="955" w:hRule="atLeast"/>
        </w:trPr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C1 </w:t>
            </w:r>
            <w:r>
              <w:rPr>
                <w:rFonts w:eastAsia="Symbol" w:cs="Symbol" w:ascii="Symbol" w:hAnsi="Symbol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sym w:font="Symbol" w:char="f02d"/>
            </w:r>
            <w:r>
              <w:rPr>
                <w:rFonts w:eastAsia="Calibri" w:cs="Calibr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Zapoznanie z </w:t>
            </w:r>
            <w:r>
              <w:rPr>
                <w:rFonts w:eastAsia="Calibri" w:cs="Calibr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podstawami savoir-vivre związanymi z językiem, komunikacją oraz kulturą.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C2 – Zapoznanie z podstawowymi wymiarami życia społecznego wraz z obowiązującymi w nich regułami postępowania.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cs="Calibri"/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5825"/>
        <w:gridCol w:w="2137"/>
      </w:tblGrid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Student wyjaśnia rolę wizerunku i komunikacji w etykiecie biznesowej/towarzyskiej w obszarze małżeństwa i rodziny.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K_W06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 w:cs="Calibri" w:cstheme="minorHAnsi"/>
                <w:color w:val="EE0000"/>
                <w:lang w:eastAsia="pl-PL"/>
              </w:rPr>
            </w:pPr>
            <w:r>
              <w:rPr>
                <w:rFonts w:eastAsia="Calibri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 xml:space="preserve">Student potrafi rozwiązywać problemy dotyczące małżeństwa i rodziny posługując się </w:t>
            </w:r>
            <w:r>
              <w:rPr>
                <w:rFonts w:eastAsia="Times New Roman" w:cs="Calibri" w:cstheme="minorHAnsi"/>
                <w:color w:val="000000" w:themeColor="text1"/>
                <w:kern w:val="0"/>
                <w:sz w:val="22"/>
                <w:szCs w:val="22"/>
                <w:lang w:val="pl-PL" w:eastAsia="pl-PL" w:bidi="ar-SA"/>
              </w:rPr>
              <w:t>zasadami funkcjonowania etykiety biznesu/towarzyskiej, reguły grzeczności i kurtuazji międzynarodowej.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Web"/>
              <w:widowControl/>
              <w:spacing w:before="0" w:after="11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K_U01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Student posługuje się wybraną terminologią dotyczącą małżeństwa i rodziny.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K_U04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cs="Calibri"/>
                <w:lang w:eastAsia="pl-PL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pl-PL" w:bidi="ar-SA"/>
              </w:rPr>
              <w:t>Student wykazuje gotowość do stosowania zasad savoir-vivre w praktyce społecznej oraz do konsultowania się z ekspertami w przypadku złożonych trudności.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K_K02</w:t>
            </w:r>
          </w:p>
        </w:tc>
      </w:tr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58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pl-PL" w:bidi="ar-SA"/>
              </w:rPr>
              <w:t>Student wyraża gotowość do przestrzegania zasad religijno-moralnych oraz etyki zawodowej w pracy na rzecz małżeństwa i rodziny.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K_K06</w:t>
            </w:r>
          </w:p>
        </w:tc>
      </w:tr>
    </w:tbl>
    <w:p>
      <w:pPr>
        <w:pStyle w:val="Normal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cs="Calibri"/>
          <w:b/>
        </w:rPr>
        <w:t>Opis przedmiotu/ treści programowe</w:t>
      </w:r>
    </w:p>
    <w:p>
      <w:pPr>
        <w:pStyle w:val="ListParagraph"/>
        <w:ind w:left="1080" w:hanging="0"/>
        <w:rPr>
          <w:rFonts w:ascii="Calibri" w:hAnsi="Calibri" w:cs="Calibri"/>
          <w:b/>
        </w:rPr>
      </w:pPr>
      <w:r>
        <w:rPr>
          <w:rFonts w:cs="Calibri"/>
          <w:b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pl-PL" w:eastAsia="en-US" w:bidi="ar-SA"/>
              </w:rPr>
              <w:t>Savoir-vivre: ewolucja i podstawowe pojęcia.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pl-PL" w:eastAsia="en-US" w:bidi="ar-SA"/>
              </w:rPr>
              <w:t>Wybrane elementy etykiety biznesowej/towarzyskiej.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pl-PL" w:eastAsia="en-US" w:bidi="ar-SA"/>
              </w:rPr>
              <w:t>Przyjęcia.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pl-PL" w:eastAsia="en-US" w:bidi="ar-SA"/>
              </w:rPr>
              <w:t>„</w:t>
            </w:r>
            <w:r>
              <w:rPr>
                <w:rFonts w:eastAsia="Calibri" w:cs="Calibri"/>
                <w:bCs/>
                <w:kern w:val="0"/>
                <w:sz w:val="22"/>
                <w:szCs w:val="22"/>
                <w:lang w:val="pl-PL" w:eastAsia="en-US" w:bidi="ar-SA"/>
              </w:rPr>
              <w:t>Przy stole”.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cs="Calibri"/>
                <w:bCs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pl-PL" w:eastAsia="en-US" w:bidi="ar-SA"/>
              </w:rPr>
              <w:t>Dress code.</w:t>
            </w:r>
          </w:p>
        </w:tc>
      </w:tr>
    </w:tbl>
    <w:p>
      <w:pPr>
        <w:pStyle w:val="ListParagraph"/>
        <w:ind w:left="1080" w:hanging="0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cs="Calibri"/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2"/>
        <w:gridCol w:w="2646"/>
        <w:gridCol w:w="2781"/>
        <w:gridCol w:w="2542"/>
      </w:tblGrid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7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eastAsia="Calibri" w:cs="Calibr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EE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 konwersatoryjny</w:t>
            </w:r>
          </w:p>
        </w:tc>
        <w:tc>
          <w:tcPr>
            <w:tcW w:w="27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EE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Krótkie zadanie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EE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dzienniku ocen (ocena lub plus/minus)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Ćwiczenia warsztatowe</w:t>
            </w:r>
          </w:p>
        </w:tc>
        <w:tc>
          <w:tcPr>
            <w:tcW w:w="27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Opracowanie tematyczne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Elektroniczna wersja opracowania tematycznego</w:t>
            </w:r>
          </w:p>
        </w:tc>
      </w:tr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Ćwiczenia warsztatowe</w:t>
            </w:r>
          </w:p>
        </w:tc>
        <w:tc>
          <w:tcPr>
            <w:tcW w:w="27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Krótkie zadanie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Web"/>
              <w:widowControl/>
              <w:spacing w:before="0" w:after="119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kern w:val="0"/>
                <w:sz w:val="22"/>
                <w:szCs w:val="22"/>
                <w:lang w:val="pl-PL" w:bidi="ar-SA"/>
              </w:rPr>
              <w:t>Zapis w dzienniku ocen (ocena lub plus/minus)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Rozmowa sokratyczna</w:t>
            </w:r>
          </w:p>
        </w:tc>
        <w:tc>
          <w:tcPr>
            <w:tcW w:w="27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Wypowiedź ustna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dzienniku ocen (ocena lub plus/minus)</w:t>
            </w:r>
          </w:p>
        </w:tc>
      </w:tr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Rozmowa sokratyczna</w:t>
            </w:r>
          </w:p>
        </w:tc>
        <w:tc>
          <w:tcPr>
            <w:tcW w:w="27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Wypowiedź ustna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dzienniku ocen (ocena lub plus/minus)</w:t>
            </w:r>
          </w:p>
        </w:tc>
      </w:tr>
    </w:tbl>
    <w:p>
      <w:pPr>
        <w:pStyle w:val="ListParagraph"/>
        <w:ind w:left="1080" w:hanging="0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cs="Calibri"/>
          <w:b/>
        </w:rPr>
        <w:t>Kryteria oceny, uwagi…</w:t>
      </w:r>
    </w:p>
    <w:p>
      <w:pPr>
        <w:pStyle w:val="Normal"/>
        <w:spacing w:before="0" w:after="0"/>
        <w:jc w:val="both"/>
        <w:rPr/>
      </w:pPr>
      <w:r>
        <w:rPr/>
        <w:t>Ocena końcowa jest średnią ważoną ocen: aktywność podczas wykładu konwersatoryjnego, rozmowy sokratycznej oraz ćwiczeń warsztatowych (waga 0,80). Obecność - uczestnictwo w zajęciach min. 80% (waga 0,20).</w:t>
      </w:r>
    </w:p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  <w:t xml:space="preserve">Kryteria oceny: </w:t>
      </w:r>
    </w:p>
    <w:p>
      <w:pPr>
        <w:pStyle w:val="Normal"/>
        <w:spacing w:before="0" w:after="0"/>
        <w:rPr/>
      </w:pPr>
      <w:r>
        <w:rPr/>
        <w:t>5 (bardzo dobra) 91-100% wymagań</w:t>
      </w:r>
    </w:p>
    <w:p>
      <w:pPr>
        <w:pStyle w:val="Normal"/>
        <w:spacing w:before="0" w:after="0"/>
        <w:rPr/>
      </w:pPr>
      <w:r>
        <w:rPr/>
        <w:t xml:space="preserve">4.5 (dobry plus) wymagań 81-90% wymagań </w:t>
      </w:r>
    </w:p>
    <w:p>
      <w:pPr>
        <w:pStyle w:val="Normal"/>
        <w:spacing w:before="0" w:after="0"/>
        <w:rPr/>
      </w:pPr>
      <w:r>
        <w:rPr/>
        <w:t xml:space="preserve">4 (dobra) 61-80% wymagań </w:t>
      </w:r>
    </w:p>
    <w:p>
      <w:pPr>
        <w:pStyle w:val="Normal"/>
        <w:spacing w:before="0" w:after="0"/>
        <w:rPr/>
      </w:pPr>
      <w:r>
        <w:rPr/>
        <w:t xml:space="preserve">3.5 (dostateczna plus) 51-60% wymagań </w:t>
      </w:r>
    </w:p>
    <w:p>
      <w:pPr>
        <w:pStyle w:val="Normal"/>
        <w:spacing w:before="0" w:after="0"/>
        <w:rPr/>
      </w:pPr>
      <w:r>
        <w:rPr/>
        <w:t xml:space="preserve">3 (dostateczna) 31-50% wymagań </w:t>
      </w:r>
    </w:p>
    <w:p>
      <w:pPr>
        <w:pStyle w:val="Normal"/>
        <w:spacing w:before="0" w:after="0"/>
        <w:rPr/>
      </w:pPr>
      <w:r>
        <w:rPr/>
        <w:t xml:space="preserve">2 (niedostateczna) poniżej 30% wymagań 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color w:val="333333"/>
          <w:lang w:eastAsia="pl-PL"/>
        </w:rPr>
      </w:pPr>
      <w:r>
        <w:rPr>
          <w:rFonts w:eastAsia="Times New Roman" w:cs="Calibri"/>
          <w:color w:val="333333"/>
          <w:lang w:eastAsia="pl-PL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cs="Calibri"/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</w:rPr>
            </w:pPr>
            <w:r>
              <w:rPr>
                <w:rFonts w:eastAsia="Calibri" w:cs="Calibri"/>
                <w:b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cs="Calibri"/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333333"/>
              </w:rPr>
            </w:pPr>
            <w:r>
              <w:rPr>
                <w:rFonts w:eastAsia="Calibri" w:cs="Calibri"/>
                <w:color w:val="333333"/>
                <w:kern w:val="0"/>
                <w:sz w:val="22"/>
                <w:szCs w:val="22"/>
                <w:lang w:val="pl-PL" w:eastAsia="en-US" w:bidi="ar-SA"/>
              </w:rPr>
              <w:t>Modrzyńska J., Protokół dyplomatyczny, etykieta i zasady savoir-vivre’u, Warszawa 2016;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333333"/>
              </w:rPr>
            </w:pPr>
            <w:r>
              <w:rPr>
                <w:rFonts w:eastAsia="Calibri" w:cs="Calibri"/>
                <w:color w:val="333333"/>
                <w:kern w:val="0"/>
                <w:sz w:val="22"/>
                <w:szCs w:val="22"/>
                <w:lang w:val="pl-PL" w:eastAsia="en-US" w:bidi="ar-SA"/>
              </w:rPr>
              <w:t>Orłowski T., Protokół dyplomatyczny. Między tradycją a nowoczesnością, Warszawa 2015;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333333"/>
              </w:rPr>
            </w:pPr>
            <w:r>
              <w:rPr>
                <w:rFonts w:eastAsia="Calibri" w:cs="Calibri"/>
                <w:color w:val="333333"/>
                <w:kern w:val="0"/>
                <w:sz w:val="22"/>
                <w:szCs w:val="22"/>
                <w:lang w:val="pl-PL" w:eastAsia="en-US" w:bidi="ar-SA"/>
              </w:rPr>
              <w:t>Szeliga A., Etykieta zawodowa i protokół dyplomatyczny, Katowice 2021.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333333"/>
              </w:rPr>
            </w:pPr>
            <w:r>
              <w:rPr>
                <w:rFonts w:eastAsia="Calibri" w:cs="Calibri"/>
                <w:color w:val="333333"/>
                <w:kern w:val="0"/>
                <w:sz w:val="22"/>
                <w:szCs w:val="22"/>
                <w:lang w:val="pl-PL" w:eastAsia="en-US" w:bidi="ar-SA"/>
              </w:rPr>
              <w:t>Robak T., Savoir-Vivre. Bez tajemnic, Warszawa 2005;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color w:val="333333"/>
              </w:rPr>
            </w:pPr>
            <w:r>
              <w:rPr>
                <w:rFonts w:eastAsia="Calibri" w:cs="Calibri"/>
                <w:color w:val="333333"/>
                <w:kern w:val="0"/>
                <w:sz w:val="22"/>
                <w:szCs w:val="22"/>
                <w:lang w:val="pl-PL" w:eastAsia="en-US" w:bidi="ar-SA"/>
              </w:rPr>
              <w:t>Stanek J, Studencki savoir-vivre. Studium empiryczne, Warszawa 2011.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b/>
        </w:rPr>
      </w:pPr>
      <w:r>
        <w:rPr>
          <w:rFonts w:cs="Calibri"/>
          <w:b/>
        </w:rPr>
      </w:r>
    </w:p>
    <w:p>
      <w:pPr>
        <w:pStyle w:val="Normal"/>
        <w:spacing w:before="0" w:after="200"/>
        <w:rPr>
          <w:rFonts w:ascii="Calibri" w:hAnsi="Calibri" w:cs="Calibri"/>
        </w:rPr>
      </w:pPr>
      <w:r>
        <w:rPr>
          <w:rFonts w:cs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qFormat/>
    <w:rsid w:val="00456f2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d47d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bd47d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d47d0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d47d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d47d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F66B-FCE8-C94A-BA81-769B4B82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LibreOffice/7.5.6.2$Windows_X86_64 LibreOffice_project/f654817fb68d6d4600d7d2f6b647e47729f55f15</Application>
  <AppVersion>15.0000</AppVersion>
  <Pages>3</Pages>
  <Words>467</Words>
  <Characters>3226</Characters>
  <CharactersWithSpaces>3578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2025-10-01T07:05:00Z</dcterms:created>
  <dc:creator>Anna Łukasiewicz</dc:creator>
  <dc:description/>
  <dc:language>pl-PL</dc:language>
  <cp:lastModifiedBy>A.</cp:lastModifiedBy>
  <cp:lastPrinted>2019-01-23T11:10:00Z</cp:lastPrinted>
  <dcterms:modified xsi:type="dcterms:W3CDTF">2025-10-01T10:13:00Z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