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KARTA PRZEDMIOTU</w:t>
      </w:r>
    </w:p>
    <w:p>
      <w:pPr>
        <w:pStyle w:val="Standard"/>
        <w:rPr>
          <w:rFonts w:ascii="Calibri" w:hAnsi="Calibri" w:asciiTheme="minorHAnsi" w:hAnsiTheme="minorHAnsi"/>
          <w:bCs/>
        </w:rPr>
      </w:pPr>
      <w:r>
        <w:rPr>
          <w:rFonts w:asciiTheme="minorHAnsi" w:hAnsiTheme="minorHAnsi"/>
          <w:bCs/>
        </w:rPr>
        <w:t>Cykl kształcenia od roku akademickiego: 2023/2024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Dane podstawowe</w:t>
      </w:r>
    </w:p>
    <w:tbl>
      <w:tblPr>
        <w:tblW w:w="921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Seminarium magisterskie „Teologia małżeństwa rodziny”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center" w:pos="2195" w:leader="none"/>
              </w:tabs>
              <w:spacing w:lineRule="auto" w:line="240" w:before="0" w:after="0"/>
              <w:rPr>
                <w:rFonts w:ascii="Calibri" w:hAnsi="Calibri"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Master’s seminar “Theology of the marriage and family”</w:t>
              <w:tab/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Kierunek studiów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Interdyscyplinarne Studia nad Małżeństwem i Rodziną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II stopień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stacjonarne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Nauki teologiczne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Polski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21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Koordynator przedmiotu/osoba odpowiedzialna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Ks. dr hab. Mirosław Brzeziński, prof. KUL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21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02"/>
        <w:gridCol w:w="2304"/>
        <w:gridCol w:w="2303"/>
        <w:gridCol w:w="2301"/>
      </w:tblGrid>
      <w:tr>
        <w:trPr/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Forma zajęć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Liczba godzin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Semestr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Punkty ECTS</w:t>
            </w:r>
          </w:p>
        </w:tc>
      </w:tr>
      <w:tr>
        <w:trPr/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seminarium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I-IV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21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33"/>
        <w:gridCol w:w="6978"/>
      </w:tblGrid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00" w:after="10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Wymagania wstępne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W1 – umiejętność pracy na komputerze</w:t>
              <w:br/>
              <w:t>W2 – umiejętność analizowania i redagowania tekstu naukowego</w:t>
              <w:br/>
              <w:t>W3 – znajomość metodologii pisania prac dyplomowych</w:t>
            </w:r>
          </w:p>
          <w:p>
            <w:pPr>
              <w:pStyle w:val="NormalWeb"/>
              <w:widowControl w:val="false"/>
              <w:shd w:val="clear" w:color="auto" w:fill="FFFFFF"/>
              <w:spacing w:before="0" w:after="10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W4 – zainteresowanie tematyką małżeństwa i rodziny w różnych aspektach życia i funkcjonowania w Kościele i społeczeństwie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widowControl/>
        <w:numPr>
          <w:ilvl w:val="0"/>
          <w:numId w:val="7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Cele kształcenia dla przedmiotu</w:t>
      </w:r>
    </w:p>
    <w:tbl>
      <w:tblPr>
        <w:tblW w:w="921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C1 </w:t>
            </w:r>
            <w:r>
              <w:rPr>
                <w:rFonts w:eastAsia="Symbol" w:cs="Symbol" w:ascii="Symbol" w:hAnsi="Symbol"/>
                <w:sz w:val="22"/>
                <w:szCs w:val="22"/>
              </w:rPr>
              <w:sym w:font="Symbol" w:char="f02d"/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pogłębienie teoretycznej i empirycznej wiedzy z zakresu nauk teologicznych o tematyce małżeńsko-rodzinnej 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C2 – kształtowanie u studentów umiejętności badawczych, weryfikowanych przez przygotowanie i obronę̨ pracy magisterskiej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widowControl/>
        <w:numPr>
          <w:ilvl w:val="0"/>
          <w:numId w:val="8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Efekty uczenia się dla przedmiotu wraz z odniesieniem do efektów kierunkowych</w:t>
      </w:r>
    </w:p>
    <w:tbl>
      <w:tblPr>
        <w:tblW w:w="921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99"/>
        <w:gridCol w:w="5953"/>
        <w:gridCol w:w="2159"/>
      </w:tblGrid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Symbol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Opis efektu przedmiotowego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Odniesienie do efektu kierunkowego</w:t>
            </w:r>
          </w:p>
        </w:tc>
      </w:tr>
      <w:tr>
        <w:trPr/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WIEDZA</w:t>
            </w:r>
          </w:p>
        </w:tc>
      </w:tr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Theme="minorHAnsi" w:hAnsiTheme="minorHAnsi"/>
              </w:rPr>
              <w:t xml:space="preserve">Student posiada podstawową wiedzę umożliwiającą poznanie funkcjonowania środowiska rodzinnego, w którym odbywa się zaspokajanie potrzeb jednostki i rodziny, zna </w:t>
            </w:r>
            <w:r>
              <w:rPr/>
              <w:t>główne trendy rozwojowe i potrzeby badawcze nauk o rodzinie oraz teologii.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  <w:color w:val="FF0000"/>
              </w:rPr>
            </w:pPr>
            <w:r>
              <w:rPr/>
              <w:t>K_W21</w:t>
            </w:r>
          </w:p>
        </w:tc>
      </w:tr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KW_02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Student posiada podstawową wiedzę z zakresu nauk o rodzinie oraz teologii i ich miejscu w systemie nauk i relacji do innych dyscyplin naukowych.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  <w:t>K_ W22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cs="Arial"/>
                <w:lang w:eastAsia="pl-PL"/>
              </w:rPr>
              <w:t>K_W26</w:t>
            </w:r>
          </w:p>
        </w:tc>
      </w:tr>
      <w:tr>
        <w:trPr/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UMIEJĘTNOŚCI</w:t>
            </w:r>
          </w:p>
        </w:tc>
      </w:tr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</w:rPr>
            </w:pPr>
            <w:r>
              <w:rPr>
                <w:rFonts w:eastAsia="Times New Roman"/>
                <w:lang w:eastAsia="pl-PL"/>
              </w:rPr>
              <w:t>Student potrafi dokonać obserwacji, analizy i interpretacji zjawisk zachodzących w małżeństwie i rodzinie; analizuje ich powiązania z różnymi obszarami działalności pomocowej, w tym asystentury rodziny i systemu pieczy zastępczej; potrafi dobrać i stosować metody i narzędzia konieczne w badaniu problemów małżeństwa i rodziny lub jej członków, które są przedmiotem własnej pracy badawczej w ramach przygotowania pracy magisterskiej.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K_U10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sz w:val="20"/>
                <w:szCs w:val="20"/>
              </w:rPr>
              <w:t>K_U21</w:t>
            </w:r>
          </w:p>
        </w:tc>
      </w:tr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Times New Roman" w:asciiTheme="minorHAnsi" w:hAnsiTheme="minorHAnsi"/>
                <w:lang w:eastAsia="pl-PL"/>
              </w:rPr>
            </w:pPr>
            <w:r>
              <w:rPr>
                <w:rFonts w:eastAsia="Times New Roman"/>
                <w:lang w:eastAsia="pl-PL"/>
              </w:rPr>
              <w:t>Student potrafi wykorzystywać podstawową wiedzę teoretyczną z zakresu nauk o rodzinie i teologii oraz powiązanych z nią dyscyplin w celu analizowania i interpretowania problemów pomocowych, opiekuńczych, kulturalnych, religijnych dotyczących małżeństwa i rodziny.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  <w:t>K_ U21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KOMPETENCJE SPOŁECZNE</w:t>
            </w:r>
          </w:p>
        </w:tc>
      </w:tr>
      <w:tr>
        <w:trPr/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asciiTheme="minorHAnsi" w:hAnsiTheme="minorHAnsi"/>
              </w:rPr>
            </w:pPr>
            <w:r>
              <w:rPr>
                <w:rFonts w:eastAsia="Times New Roman"/>
                <w:lang w:eastAsia="pl-PL"/>
              </w:rPr>
              <w:t xml:space="preserve">Student na podstawie przeprowadzonych badań w ramach przygotowania pracy magisterskiej jest gotów do krytycznej oceny stanu wiedzy na temat małżeństwa i rodziny oraz sposobów wsparcia.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cs="Arial" w:asciiTheme="minorHAnsi" w:hAnsiTheme="minorHAnsi"/>
                <w:lang w:eastAsia="pl-PL"/>
              </w:rPr>
            </w:pPr>
            <w:r>
              <w:rPr>
                <w:rFonts w:cs="Arial"/>
                <w:lang w:eastAsia="pl-PL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K_K02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/>
              <w:t>K_K03</w:t>
            </w:r>
          </w:p>
        </w:tc>
      </w:tr>
    </w:tbl>
    <w:p>
      <w:pPr>
        <w:pStyle w:val="ListParagraph"/>
        <w:ind w:left="1080" w:hanging="0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widowControl/>
        <w:numPr>
          <w:ilvl w:val="0"/>
          <w:numId w:val="9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Opis przedmiotu/ treści programowe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Wybór tematyki badawczej: poszukiwanie problemu badawczego z zakresu nauk teologicznych dotyczących małżeństwa i rodziny.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Przygotowanie koncepcji badań: uzasadnienie, cel, przedmiot, hipotezy, źródła, metody badań, struktura pracy.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Metody i narzędzia badawcze wykorzystywane w procesie przygotowywania prac magisterskich z nauk teologicznych.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Proces badawczy, redakcja tekstu naukowego – pracy dyplomowej – teoretycznej lub empirycznej z nauk teologicznych a dotyczących małżeństwa i rodziny. 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Możliwości upowszechniania wyników badań.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uppressAutoHyphens w:val="false"/>
              <w:spacing w:before="100" w:after="100"/>
              <w:textAlignment w:val="auto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Dyskusje tematyczne dotyczące funkcjonowania małżeństwa i rodziny w Kościele i społeczeństwie.</w:t>
            </w:r>
          </w:p>
        </w:tc>
      </w:tr>
    </w:tbl>
    <w:p>
      <w:pPr>
        <w:pStyle w:val="Standard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widowControl/>
        <w:numPr>
          <w:ilvl w:val="0"/>
          <w:numId w:val="10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  <w:t>Metody realizacji i weryfikacji efektów uczenia się</w:t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tbl>
      <w:tblPr>
        <w:tblW w:w="921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00"/>
        <w:gridCol w:w="2694"/>
        <w:gridCol w:w="2834"/>
        <w:gridCol w:w="2583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Symbol efektu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Metody dydaktyczne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(lista wyboru)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Metody weryfikacji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(lista wyboru)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Sposoby dokumentacji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(lista wyboru)</w:t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WIEDZA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W_01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W_02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false"/>
              <w:spacing w:before="100" w:after="100"/>
              <w:textAlignment w:val="auto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Praca badawcza pod kierunkiem (praca seminaryjna)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Praca dyplomowa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Sprawdzona praca dyplomowa / Recenzje pracy dyplomowej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UMIEJĘTNOŚCI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U_01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U_01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false"/>
              <w:spacing w:before="100" w:after="100"/>
              <w:textAlignment w:val="auto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</w:rPr>
              <w:t>Praca badawcza pod kierunkiem (praca seminaryjna)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Praca dyplomowa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Sprawdzona praca dyplomowa / Recenzje pracy dyplomowej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KOMPETENCJE SPOŁECZNE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K_01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K_02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Praca badawcza pod kierunkiem (praca seminaryjna)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Praca dyplomowa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Sprawdzona praca dyplomowa / Recenzje pracy dyplomowej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ListParagraph"/>
        <w:widowControl/>
        <w:numPr>
          <w:ilvl w:val="0"/>
          <w:numId w:val="4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  <w:t>Kryteria oceny: zaliczenie bez oceny</w:t>
      </w:r>
    </w:p>
    <w:p>
      <w:pPr>
        <w:pStyle w:val="ListParagraph"/>
        <w:widowControl/>
        <w:numPr>
          <w:ilvl w:val="0"/>
          <w:numId w:val="4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Obciążenie pracą studenta</w:t>
      </w:r>
    </w:p>
    <w:tbl>
      <w:tblPr>
        <w:tblW w:w="921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Liczba godzin kontaktowych z nauczycielem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Theme="minorHAnsi" w:hAnsiTheme="minorHAnsi"/>
                <w:i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120 godzin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Liczba godzin indywidualnej pracy studenta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Theme="minorHAnsi" w:hAnsiTheme="minorHAnsi"/>
                <w:i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240 godzin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</w:r>
    </w:p>
    <w:p>
      <w:pPr>
        <w:pStyle w:val="ListParagraph"/>
        <w:widowControl/>
        <w:numPr>
          <w:ilvl w:val="0"/>
          <w:numId w:val="4"/>
        </w:numPr>
        <w:spacing w:lineRule="auto" w:line="276" w:before="0" w:after="200"/>
        <w:contextualSpacing w:val="false"/>
        <w:rPr>
          <w:rFonts w:ascii="Calibri" w:hAnsi="Calibri" w:asciiTheme="minorHAnsi" w:hAnsiTheme="minorHAnsi"/>
        </w:rPr>
      </w:pPr>
      <w:r>
        <w:rPr>
          <w:rFonts w:asciiTheme="minorHAnsi" w:hAnsiTheme="minorHAnsi"/>
          <w:b/>
        </w:rPr>
        <w:t>Literatura</w:t>
      </w:r>
    </w:p>
    <w:tbl>
      <w:tblPr>
        <w:tblW w:w="921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Literatura podstawowa</w:t>
            </w:r>
          </w:p>
        </w:tc>
      </w:tr>
      <w:tr>
        <w:trPr>
          <w:trHeight w:val="1383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R. Kamiński, Metodyka przygotowania prac promocyjnych z teologii praktycznej, Siedlce 2017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T. Pilch. T. Bauman. Zasady badań pedagogicznych. Strategie ilościowe i jakościowe. Warszawa 2001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M. Węglińska. Jak pisać pracę magisterską. Kraków 2005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Z. Szkutnik, Metodyka pisania pracy dyplomowej. Skrypt dla studentów, Poznań 2005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/>
              </w:rPr>
              <w:t>Literatura uzupełniająca</w:t>
            </w:r>
          </w:p>
        </w:tc>
      </w:tr>
      <w:tr>
        <w:trPr>
          <w:trHeight w:val="826" w:hRule="atLeast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H. Seweryniak. </w:t>
            </w:r>
            <w:r>
              <w:rPr>
                <w:rFonts w:ascii="Calibri" w:hAnsi="Calibri" w:asciiTheme="minorHAnsi" w:hAnsiTheme="minorHAnsi"/>
                <w:sz w:val="22"/>
                <w:szCs w:val="22"/>
              </w:rPr>
              <w:t xml:space="preserve">Metodyka uczenia się i pisania prac dyplomowych, 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Płock 2000</w:t>
            </w:r>
          </w:p>
          <w:p>
            <w:pPr>
              <w:pStyle w:val="NormalWeb"/>
              <w:widowControl w:val="false"/>
              <w:spacing w:before="0" w:after="0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>H. Seweryniak, Metodyka pisania prac magisterskich i dyplomowych z teologii, Płock 1998</w:t>
            </w:r>
          </w:p>
        </w:tc>
      </w:tr>
    </w:tbl>
    <w:p>
      <w:pPr>
        <w:pStyle w:val="Standard"/>
        <w:spacing w:before="0" w:after="0"/>
        <w:rPr>
          <w:rFonts w:ascii="Calibri" w:hAnsi="Calibri" w:asciiTheme="minorHAnsi" w:hAnsiTheme="minorHAnsi"/>
          <w:b/>
        </w:rPr>
      </w:pPr>
      <w:r>
        <w:rPr>
          <w:rFonts w:asciiTheme="minorHAnsi" w:hAnsiTheme="minorHAnsi"/>
          <w:b/>
        </w:rPr>
      </w:r>
    </w:p>
    <w:p>
      <w:pPr>
        <w:pStyle w:val="Standard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/>
        </w:rPr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00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f1ba2"/>
    <w:rPr/>
  </w:style>
  <w:style w:type="character" w:styleId="Tlid-translation" w:customStyle="1">
    <w:name w:val="tlid-translation"/>
    <w:basedOn w:val="DefaultParagraphFont"/>
    <w:qFormat/>
    <w:rsid w:val="008f1ba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301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73018"/>
    <w:rPr>
      <w:rFonts w:ascii="Calibri" w:hAnsi="Calibri" w:eastAsia="Calibri" w:cs="F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73018"/>
    <w:rPr>
      <w:rFonts w:ascii="Calibri" w:hAnsi="Calibri" w:eastAsia="Calibri" w:cs="F"/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8f1ba2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f1ba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e7400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Standard"/>
    <w:qFormat/>
    <w:rsid w:val="00e7400a"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7301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73018"/>
    <w:pPr/>
    <w:rPr>
      <w:b/>
      <w:bCs/>
    </w:rPr>
  </w:style>
  <w:style w:type="paragraph" w:styleId="NoSpacing">
    <w:name w:val="No Spacing"/>
    <w:uiPriority w:val="1"/>
    <w:qFormat/>
    <w:rsid w:val="00c332e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3159c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f1b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3</Pages>
  <Words>618</Words>
  <Characters>4199</Characters>
  <CharactersWithSpaces>4707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2025-11-20T10:21:00Z</dcterms:created>
  <dc:creator>Mirek</dc:creator>
  <dc:description/>
  <dc:language>pl-PL</dc:language>
  <cp:lastModifiedBy>Katarzyna Zielińska - Król</cp:lastModifiedBy>
  <dcterms:modified xsi:type="dcterms:W3CDTF">2025-11-20T10:21:00Z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