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>Zdrowie rodziny: podejście biologiczne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 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GB" w:eastAsia="pl-PL" w:bidi="ar-SA"/>
              </w:rPr>
              <w:t>Family Health: A Biological Approach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biologiczne/ nauki o zdrowiu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2"/>
        <w:gridCol w:w="4529"/>
      </w:tblGrid>
      <w:tr>
        <w:trPr>
          <w:trHeight w:val="319" w:hRule="atLeast"/>
        </w:trPr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Prowadzący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mgr Katarzyna Kagan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Podstawowa wiedza biologiczna w odniesieniu do zdrowia człowieka i jej znaczenia dla prawidłowego funkcjonowania rodziny.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pl-PL" w:bidi="ar-SA"/>
              </w:rPr>
              <w:t>Wskazywanie i wyjaśnianie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 xml:space="preserve"> czynników biologicznych oraz środowiskowych wpływających na zdrowie rodziny, z uwzględnieniem zależności między stylem życia a dobrostanem fizycznym, psychicznym i społecznym.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C2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Poznanie i zrozumienie wpływu czynników dziedzicznych, rozwoju fizycznego, płodności i zdrowia prokreacyjnego na funkcjonowanie rodzin.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C3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pl-PL" w:bidi="ar-SA"/>
              </w:rPr>
              <w:t>Planowanie i wdrażanie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 xml:space="preserve"> działań prozdrowotnych w życiu rodzinnym w obszarach odżywiania, aktywności fizycznej, profilaktyki chorób oraz radzenia sobie ze stresem.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2"/>
        <w:gridCol w:w="5700"/>
        <w:gridCol w:w="2110"/>
      </w:tblGrid>
      <w:tr>
        <w:trPr/>
        <w:tc>
          <w:tcPr>
            <w:tcW w:w="12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efektu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przedmiotu </w:t>
            </w:r>
          </w:p>
        </w:tc>
        <w:tc>
          <w:tcPr>
            <w:tcW w:w="5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/>
              <w:spacing w:lineRule="atLeast" w:line="24" w:before="0" w:after="0"/>
              <w:ind w:left="284" w:right="0" w:hanging="0"/>
              <w:jc w:val="left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Student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nazywa i rozumie w pogłębionym stopniu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biologiczne podstawy zdrowia rodziny, obejmujące pojęcie zdrowia i choroby, czynniki ryzyka i ochronne, procesy fizjologiczne związane z rozwojem człowieka, rozrodczością, ciążą i starzeniem się, uwarunkowania rozwoju prenatalnego i wczesnodziecięcego, znaczenie odżywiania, aktywności fizycznej i stylu życia, biologiczne skutki stresu, a także konsekwencje chorób przewlekłych i niepełnosprawności w funkcjonowaniu systemu rodzinnego.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center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 w:cs=""/>
                <w:i/>
                <w:iCs/>
                <w:kern w:val="0"/>
                <w:sz w:val="22"/>
                <w:szCs w:val="22"/>
                <w:lang w:val="pl-PL" w:eastAsia="pl-PL" w:bidi="ar-SA"/>
              </w:rPr>
              <w:t>K_W07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U_01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/>
              <w:spacing w:lineRule="atLeast" w:line="24" w:before="0" w:after="0"/>
              <w:ind w:left="284" w:right="0" w:hanging="0"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Student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pl-PL" w:eastAsia="en-US" w:bidi="ar-SA"/>
              </w:rPr>
              <w:t>a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nalizuje i ocenia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wpływ czynników biologicznych, genetycznych, epigenetycznych i środowiskowych na zdrowie człowieka i rodziny,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stosuje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wiedzę z zakresu profilaktyki i promocji zdrowia w praktyce życia rodzinnego,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planuje i opracowuje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działania prozdrowotne oraz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interpretuje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strategie adaptacyjne rodziny w sytuacjach obciążenia chorobą, stresem lub niepełnosprawnością.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center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 w:cs=""/>
                <w:i/>
                <w:iCs/>
                <w:kern w:val="0"/>
                <w:sz w:val="22"/>
                <w:szCs w:val="22"/>
                <w:lang w:val="pl-PL" w:eastAsia="pl-PL" w:bidi="ar-SA"/>
              </w:rPr>
              <w:t>K_U05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/>
              <w:spacing w:lineRule="atLeast" w:line="24" w:before="0" w:after="0"/>
              <w:ind w:left="284" w:right="0" w:hanging="0"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Absolwent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pl-PL" w:eastAsia="en-US" w:bidi="ar-SA"/>
              </w:rPr>
              <w:t>u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znaje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znaczenie interdyscyplinarnej wiedzy w rozwiązywaniu problemów zdrowotnych dotyczących małżeństwa i rodziny,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angażuje się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w promocję postaw prozdrowotnych i profilaktycznych,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współpracuje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w zakresie wspierania zdrowia i dobrostanu rodziny oraz </w:t>
            </w:r>
            <w:r>
              <w:rPr>
                <w:rStyle w:val="Strong"/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przyjmuje odpowiedzialność</w:t>
            </w: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 za kształtowanie środowiska sprzyjającego zdrowiu.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center"/>
              <w:rPr>
                <w:rFonts w:eastAsia="Times New Roman" w:cs="Times New Roman"/>
                <w:i/>
                <w:i/>
                <w:iCs/>
                <w:lang w:eastAsia="pl-PL"/>
              </w:rPr>
            </w:pPr>
            <w:r>
              <w:rPr>
                <w:rFonts w:eastAsia="Times New Roman" w:cs=""/>
                <w:i/>
                <w:iCs/>
                <w:kern w:val="0"/>
                <w:sz w:val="22"/>
                <w:szCs w:val="22"/>
                <w:lang w:val="pl-PL" w:eastAsia="pl-PL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Autospacing="1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Pojęcie zdrowia i choroby w ujęciu biologicznym i społecznym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zdrowie jako dobrostan fizyczny, psychiczny i społeczny (definicja WHO); czynniki ryzyka i ochronne w zdrowiu rodziny.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Podstawy fizjologii i anatomii człowieka w kontekście życia rodzinnego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podstawowe procesy biologiczne związane z rozwojem, płodnością, ciążą, porodem, starzeniem się.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Rozrodczość i zdrowie prokreacyjne w rodzinie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fizjologia cyklu płciowego, naturalne metody rozpoznawania płodności, płodność a styl życia, niepłodność.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Biologiczne uwarunkowania rozwoju prenatalnego i wczesnodziecięcego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czynniki genetyczne, epigenetyczne i środowiskowe wpływające na zdrowie dziecka i matki.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Odżywianie, aktywność fizyczna i ich znaczenie w zdrowiu rodziny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wpływ stylu życia na zdrowie fizyczne; promocja zdrowia w rodzinie.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Psychoneuroimmunologia i stres w kontekście funkcjonowania rodziny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biologiczne skutki długotrwałego stresu; odporność a jakość relacji rodzinnych.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Profilaktyka i edukacja zdrowotna w rodzinie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działania prewencyjne, rola rodziny w kształtowaniu postaw prozdrowotnych; znaczenie edukacji zdrowotnej.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Autospacing="1"/>
              <w:jc w:val="lef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 xml:space="preserve">Choroba przewlekła i niepełnosprawność w rodzinie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– biologiczne i społeczne konsekwencje dla systemu rodzinnego; adaptacja i wsparcie.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9"/>
        <w:gridCol w:w="2637"/>
        <w:gridCol w:w="2777"/>
        <w:gridCol w:w="2538"/>
      </w:tblGrid>
      <w:tr>
        <w:trPr/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 multimedialna</w:t>
            </w:r>
          </w:p>
        </w:tc>
        <w:tc>
          <w:tcPr>
            <w:tcW w:w="2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treści prezentacji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Plik/ wydruk; Ocena treści prezentacji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Studium przypadku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(Case study)</w:t>
            </w:r>
          </w:p>
        </w:tc>
        <w:tc>
          <w:tcPr>
            <w:tcW w:w="2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zaangażowania osób i adekwatności wskazań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najbardziej aktywnych osób i adekwatnych sugestii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Zespołowa analiza i tworzenie listy kluczowych aspektów biologicznych</w:t>
            </w:r>
          </w:p>
        </w:tc>
        <w:tc>
          <w:tcPr>
            <w:tcW w:w="2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 zaangażowania i ocena adekwatności wypowiedzi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najbardziej aktywnych osób i adekwatnych sugestii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ind w:left="360" w:hanging="0"/>
        <w:jc w:val="both"/>
        <w:rPr>
          <w:bCs/>
        </w:rPr>
      </w:pPr>
      <w:r>
        <w:rPr>
          <w:bCs/>
        </w:rPr>
        <w:t>Zaangażowana obecność na zajęciach 12/15 - 20%:</w:t>
      </w:r>
    </w:p>
    <w:p>
      <w:pPr>
        <w:pStyle w:val="Normal"/>
        <w:jc w:val="both"/>
        <w:rPr>
          <w:bCs/>
        </w:rPr>
      </w:pPr>
      <w:r>
        <w:rPr>
          <w:bCs/>
        </w:rPr>
        <w:t>- Procent realizacji: 15/15 = 100%</w:t>
      </w:r>
    </w:p>
    <w:p>
      <w:pPr>
        <w:pStyle w:val="Normal"/>
        <w:jc w:val="both"/>
        <w:rPr>
          <w:bCs/>
        </w:rPr>
      </w:pPr>
      <w:r>
        <w:rPr>
          <w:bCs/>
        </w:rPr>
        <w:t>Wkład do oceny końcowej: 100% × 20% = 20%</w:t>
      </w:r>
    </w:p>
    <w:p>
      <w:pPr>
        <w:pStyle w:val="Normal"/>
        <w:jc w:val="both"/>
        <w:rPr>
          <w:bCs/>
        </w:rPr>
      </w:pPr>
      <w:r>
        <w:rPr>
          <w:bCs/>
        </w:rPr>
        <w:t>- Procent realizacji: 14/15 ≈ 93,3%</w:t>
      </w:r>
    </w:p>
    <w:p>
      <w:pPr>
        <w:pStyle w:val="Normal"/>
        <w:jc w:val="both"/>
        <w:rPr>
          <w:bCs/>
        </w:rPr>
      </w:pPr>
      <w:r>
        <w:rPr>
          <w:bCs/>
        </w:rPr>
        <w:t>Wkład do oceny końcowej: 93,3% × 20% = 18,66% ≈ 18,7%</w:t>
      </w:r>
    </w:p>
    <w:p>
      <w:pPr>
        <w:pStyle w:val="Normal"/>
        <w:jc w:val="both"/>
        <w:rPr>
          <w:bCs/>
        </w:rPr>
      </w:pPr>
      <w:r>
        <w:rPr>
          <w:bCs/>
        </w:rPr>
        <w:t>- Procent realizacji: 13/15 ≈ 86,7%</w:t>
      </w:r>
    </w:p>
    <w:p>
      <w:pPr>
        <w:pStyle w:val="Normal"/>
        <w:jc w:val="both"/>
        <w:rPr>
          <w:bCs/>
        </w:rPr>
      </w:pPr>
      <w:r>
        <w:rPr>
          <w:bCs/>
        </w:rPr>
        <w:t>Wkład do oceny końcowej: 86,7% × 20% = 17,34% ≈ 17,3%</w:t>
      </w:r>
    </w:p>
    <w:p>
      <w:pPr>
        <w:pStyle w:val="Normal"/>
        <w:jc w:val="both"/>
        <w:rPr>
          <w:bCs/>
        </w:rPr>
      </w:pPr>
      <w:r>
        <w:rPr>
          <w:bCs/>
        </w:rPr>
        <w:t>-</w:t>
      </w:r>
      <w:r>
        <w:rPr/>
        <w:t xml:space="preserve"> </w:t>
      </w:r>
      <w:r>
        <w:rPr>
          <w:bCs/>
        </w:rPr>
        <w:t>Procent realizacji: 12/15 = 80%</w:t>
      </w:r>
    </w:p>
    <w:p>
      <w:pPr>
        <w:pStyle w:val="Normal"/>
        <w:jc w:val="both"/>
        <w:rPr>
          <w:bCs/>
        </w:rPr>
      </w:pPr>
      <w:r>
        <w:rPr>
          <w:bCs/>
        </w:rPr>
        <w:t>Wkład do oceny końcowej: 80% × 20% = 16%</w:t>
      </w:r>
    </w:p>
    <w:p>
      <w:pPr>
        <w:pStyle w:val="Normal"/>
        <w:jc w:val="both"/>
        <w:rPr>
          <w:bCs/>
        </w:rPr>
      </w:pPr>
      <w:r>
        <w:rPr>
          <w:bCs/>
        </w:rPr>
        <w:t>Wkład do oceny końcowej:</w:t>
      </w:r>
      <w:r>
        <w:rPr/>
        <w:t xml:space="preserve"> x% realizacji kryterium × 20% udziału kryterium = y % całej oceny.</w:t>
      </w:r>
    </w:p>
    <w:p>
      <w:pPr>
        <w:pStyle w:val="Normal"/>
        <w:ind w:left="360" w:hanging="0"/>
        <w:jc w:val="both"/>
        <w:rPr>
          <w:bCs/>
        </w:rPr>
      </w:pPr>
      <w:r>
        <w:rPr>
          <w:bCs/>
        </w:rPr>
        <w:t>- Oceny za prezentację - 30%: treść (10%), formę (10%), sposób przekazu (10%)</w:t>
      </w:r>
    </w:p>
    <w:p>
      <w:pPr>
        <w:pStyle w:val="Normal"/>
        <w:ind w:left="360" w:hanging="0"/>
        <w:jc w:val="both"/>
        <w:rPr>
          <w:bCs/>
        </w:rPr>
      </w:pPr>
      <w:r>
        <w:rPr>
          <w:bCs/>
        </w:rPr>
        <w:t>- Ocena kolokwium - 50%</w:t>
      </w:r>
    </w:p>
    <w:p>
      <w:pPr>
        <w:pStyle w:val="Normal"/>
        <w:ind w:left="360" w:hanging="0"/>
        <w:jc w:val="both"/>
        <w:rPr>
          <w:b/>
          <w:bCs/>
        </w:rPr>
      </w:pPr>
      <w:r>
        <w:rPr>
          <w:b/>
          <w:bCs/>
        </w:rPr>
        <w:t>Ocena końcowa:</w:t>
      </w:r>
    </w:p>
    <w:p>
      <w:pPr>
        <w:pStyle w:val="Normal"/>
        <w:rPr>
          <w:bCs/>
        </w:rPr>
      </w:pPr>
      <w:r>
        <w:rPr>
          <w:rStyle w:val="Strong"/>
        </w:rPr>
        <w:t>Ocena niedostateczna (2) – poniżej 49% wymagań:</w:t>
      </w:r>
      <w:r>
        <w:rPr/>
        <w:t xml:space="preserve"> Student nie posiada wystarczającej wiedzy, jest nieprzygotowany do zajęć, wykazuje brak rzetelności i niechęć do podejmowania działań profilaktycznych.</w:t>
        <w:br/>
      </w:r>
      <w:r>
        <w:rPr>
          <w:rStyle w:val="Strong"/>
        </w:rPr>
        <w:t>Ocena dostateczna (3) – 50–69% wymagań:</w:t>
      </w:r>
      <w:r>
        <w:rPr/>
        <w:t xml:space="preserve"> Student zna podstawy materiału, orientuje się w prezentowanych treściach, potrafi prowadzić rozmowę i wskazać proste, możliwe formy profilaktyki.</w:t>
        <w:br/>
      </w:r>
      <w:r>
        <w:rPr>
          <w:rStyle w:val="Strong"/>
        </w:rPr>
        <w:t>Ocena dostateczna plus (3,5) – 70–72% wymagań:</w:t>
      </w:r>
      <w:r>
        <w:rPr/>
        <w:t xml:space="preserve"> Student posiada podstawową wiedzę na poziomie nieco wyższym niż minimum, potrafi samodzielnie wypowiadać się na temat omawianych zagadnień i proponować nieskomplikowane działania profilaktyczne, wykazuje umiarkowaną aktywność.</w:t>
        <w:br/>
      </w:r>
      <w:r>
        <w:rPr>
          <w:rStyle w:val="Strong"/>
        </w:rPr>
        <w:t>Ocena dobra (4) – 73–84% wymagań:</w:t>
      </w:r>
      <w:r>
        <w:rPr/>
        <w:t xml:space="preserve"> Student ma solidną wiedzę i potrafi ją poprawnie przedstawić; uczestniczy w dyskusji, aktywizuje grupę i wskazuje właściwe formy działań profilaktycznych.</w:t>
        <w:br/>
      </w:r>
      <w:r>
        <w:rPr>
          <w:rStyle w:val="Strong"/>
        </w:rPr>
        <w:t>Ocena dobry plus (4,5) – 85–88% wymagań:</w:t>
      </w:r>
      <w:r>
        <w:rPr/>
        <w:t xml:space="preserve"> Student posiada ugruntowaną i poszerzoną wiedzę, jasno ją prezentuje, inicjuje merytoryczne dyskusje, wspiera grupę i proponuje trafne działania profilaktyczne, wykazując ponadprzeciętną aktywność.</w:t>
        <w:br/>
      </w:r>
      <w:r>
        <w:rPr>
          <w:rStyle w:val="Strong"/>
        </w:rPr>
        <w:t>Ocena bardzo dobra (5) – 89–100% wymagań:</w:t>
      </w:r>
      <w:r>
        <w:rPr/>
        <w:t xml:space="preserve"> Student posiada rozległą wiedzę, jasno i szczegółowo ją przekazuje, aktywnie współpracuje i potrafi koordynować grupę; wyróżnia się zaangażowaniem, udziela wsparcia innym i formułuje trafne, zgodne z normami rozwiązania profilaktyczne.</w:t>
      </w: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agwek1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szCs w:val="22"/>
                <w:lang w:val="pl-PL"/>
              </w:rPr>
              <w:t>S. Golinowska i inni (red.). Zdrowie publiczne - Wymiar społeczny i ekologiczny, Scholar: Scholar</w:t>
            </w:r>
          </w:p>
          <w:p>
            <w:pPr>
              <w:pStyle w:val="Nagwek1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szCs w:val="22"/>
                <w:lang w:val="en-GB"/>
              </w:rPr>
              <w:t xml:space="preserve">Institute of Medicine (US) Committee on Health and Behavior: Research, Practice, and Policy. (2001). Health and Behavior: The Interplay of Biological, Behavioral, and Societal Influences. </w:t>
            </w:r>
            <w:r>
              <w:rPr>
                <w:b w:val="false"/>
                <w:kern w:val="0"/>
                <w:sz w:val="20"/>
                <w:szCs w:val="22"/>
                <w:lang w:val="pl-PL"/>
              </w:rPr>
              <w:t xml:space="preserve">National Academies Press (US). </w:t>
            </w:r>
          </w:p>
          <w:p>
            <w:pPr>
              <w:pStyle w:val="Nagwek1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lang w:val="pl-PL"/>
              </w:rPr>
              <w:t>K. Borzucka-Sitkiewicz,, K. Kowalczewska-Grabowska.</w:t>
            </w:r>
            <w:r>
              <w:rPr>
                <w:b w:val="false"/>
                <w:i/>
                <w:iCs/>
                <w:kern w:val="0"/>
                <w:sz w:val="20"/>
                <w:lang w:val="pl-PL"/>
              </w:rPr>
              <w:t xml:space="preserve"> Profilaktyka społeczna. Aspekty teoretyczno-metodyczne</w:t>
            </w:r>
            <w:r>
              <w:rPr>
                <w:b w:val="false"/>
                <w:kern w:val="0"/>
                <w:sz w:val="20"/>
                <w:lang w:val="pl-PL"/>
              </w:rPr>
              <w:t>. Katowice: Wydawnictwo Uniwersytetu Śląskiego 2013.</w:t>
            </w:r>
          </w:p>
          <w:p>
            <w:pPr>
              <w:pStyle w:val="Nagwek1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i/>
                <w:iCs/>
                <w:kern w:val="0"/>
                <w:sz w:val="20"/>
                <w:lang w:val="pl-PL"/>
              </w:rPr>
              <w:t>Zagrożenia zdrowia chorobami cywilizacyjnymi</w:t>
            </w:r>
            <w:r>
              <w:rPr>
                <w:b w:val="false"/>
                <w:kern w:val="0"/>
                <w:sz w:val="20"/>
                <w:lang w:val="pl-PL"/>
              </w:rPr>
              <w:t>. Red. J. Bulska. Kraków: Oficyna wydawnicza „Impuls” 2008.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agwek1"/>
              <w:widowControl w:val="false"/>
              <w:numPr>
                <w:ilvl w:val="0"/>
                <w:numId w:val="4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szCs w:val="22"/>
                <w:lang w:val="en-GB"/>
              </w:rPr>
              <w:t xml:space="preserve">Dfarhud D, Malmir M, Khanahmadi M. Happiness &amp; Health: The Biological Factors- Systematic Review Article. Iran J Public Health. </w:t>
            </w:r>
            <w:r>
              <w:rPr>
                <w:b w:val="false"/>
                <w:kern w:val="0"/>
                <w:sz w:val="20"/>
                <w:szCs w:val="22"/>
                <w:lang w:val="pl-PL"/>
              </w:rPr>
              <w:t>2014;43(11):1468-1477.</w:t>
            </w:r>
          </w:p>
          <w:p>
            <w:pPr>
              <w:pStyle w:val="Nagwek1"/>
              <w:widowControl w:val="false"/>
              <w:numPr>
                <w:ilvl w:val="0"/>
                <w:numId w:val="4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szCs w:val="22"/>
                <w:lang w:val="pl-PL"/>
              </w:rPr>
              <w:t>E</w:t>
            </w:r>
            <w:r>
              <w:rPr>
                <w:b w:val="false"/>
                <w:i/>
                <w:iCs/>
                <w:kern w:val="0"/>
                <w:sz w:val="20"/>
                <w:lang w:val="pl-PL"/>
              </w:rPr>
              <w:t>ncyklopedia bioetyki</w:t>
            </w:r>
            <w:r>
              <w:rPr>
                <w:b w:val="false"/>
                <w:kern w:val="0"/>
                <w:sz w:val="20"/>
                <w:lang w:val="pl-PL"/>
              </w:rPr>
              <w:t xml:space="preserve">. Red. A. Muszala. Radom: Polskie Wydawnictwo Encyklopedyczne 2009. </w:t>
            </w:r>
          </w:p>
          <w:p>
            <w:pPr>
              <w:pStyle w:val="Nagwek1"/>
              <w:widowControl w:val="false"/>
              <w:numPr>
                <w:ilvl w:val="0"/>
                <w:numId w:val="4"/>
              </w:numPr>
              <w:spacing w:before="0" w:after="0"/>
              <w:jc w:val="left"/>
              <w:rPr>
                <w:b w:val="false"/>
                <w:sz w:val="20"/>
                <w:szCs w:val="22"/>
              </w:rPr>
            </w:pPr>
            <w:r>
              <w:rPr>
                <w:b w:val="false"/>
                <w:kern w:val="0"/>
                <w:sz w:val="20"/>
                <w:lang w:val="pl-PL"/>
              </w:rPr>
              <w:t xml:space="preserve">M. Sygit. </w:t>
            </w:r>
            <w:r>
              <w:rPr>
                <w:b w:val="false"/>
                <w:i/>
                <w:iCs/>
                <w:kern w:val="0"/>
                <w:sz w:val="20"/>
                <w:lang w:val="pl-PL"/>
              </w:rPr>
              <w:t>Zdrowie publiczne</w:t>
            </w:r>
            <w:r>
              <w:rPr>
                <w:b w:val="false"/>
                <w:kern w:val="0"/>
                <w:sz w:val="20"/>
                <w:lang w:val="pl-PL"/>
              </w:rPr>
              <w:t>. Wyd. 2. Warszawa: Wolters Kluwer 2017.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2"/>
                <w:lang w:val="pl-PL" w:eastAsia="en-US" w:bidi="ar-SA"/>
              </w:rPr>
            </w:r>
          </w:p>
        </w:tc>
      </w:tr>
    </w:tbl>
    <w:tbl>
      <w:tblPr>
        <w:tblpPr w:bottomFromText="0" w:horzAnchor="margin" w:leftFromText="141" w:rightFromText="141" w:tblpX="0" w:tblpY="4186" w:topFromText="0" w:vertAnchor="page"/>
        <w:tblW w:w="9120" w:type="dxa"/>
        <w:jc w:val="left"/>
        <w:tblInd w:w="-5" w:type="dxa"/>
        <w:tblLayout w:type="fixed"/>
        <w:tblCellMar>
          <w:top w:w="9" w:type="dxa"/>
          <w:left w:w="9" w:type="dxa"/>
          <w:bottom w:w="9" w:type="dxa"/>
          <w:right w:w="9" w:type="dxa"/>
        </w:tblCellMar>
        <w:tblLook w:firstRow="0" w:noVBand="1" w:lastRow="0" w:firstColumn="0" w:lastColumn="0" w:noHBand="1" w:val="0600"/>
      </w:tblPr>
      <w:tblGrid>
        <w:gridCol w:w="1224"/>
        <w:gridCol w:w="652"/>
        <w:gridCol w:w="767"/>
        <w:gridCol w:w="1893"/>
        <w:gridCol w:w="4584"/>
      </w:tblGrid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2025-10-07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2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Zajęcia wprowadzające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2025-10-14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3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Pojęcie zdrowia i choroby w ujęciu biologicznym i społecznym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2025-10-21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4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Podstawy fizjologii i anatomii człowieka w kontekście życia rodzinnego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2025-10-28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5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 xml:space="preserve">Rozrodczość i zdrowie prokreacyjne w rodzinie 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2025-11-04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6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 xml:space="preserve">Biologiczne uwarunkowania rozwoju prenatalnego i wczesnodziecięcego </w:t>
            </w:r>
          </w:p>
        </w:tc>
      </w:tr>
      <w:tr>
        <w:trPr>
          <w:trHeight w:val="897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2025-11-18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7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 xml:space="preserve">KOLOKWIUM </w:t>
              <w:br/>
              <w:t xml:space="preserve">Odżywianie, aktywność fizyczna i ich znaczenie w zdrowiu rodziny 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2025-11-25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8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PREZENTACJE TEMAT 5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2025-12-02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9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 xml:space="preserve">Psychoneuroimmunologia i stres w kontekście funkcjonowania rodziny 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2025-12-09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0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PREZENTACJE TEMAT 6</w:t>
            </w:r>
          </w:p>
        </w:tc>
      </w:tr>
      <w:tr>
        <w:trPr>
          <w:trHeight w:val="722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2025-12-16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1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 xml:space="preserve">Profilaktyka i edukacja zdrowotna w rodzinie 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2025-12-23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2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PREZENTACJE TEMAT 7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2026-01-13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3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Choroba przewlekła i niepełnosprawność w rodzinie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2026-01-20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4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PREZENTACJE TEMAT 8</w:t>
            </w:r>
          </w:p>
        </w:tc>
      </w:tr>
      <w:tr>
        <w:trPr>
          <w:trHeight w:val="658" w:hRule="atLeast"/>
        </w:trPr>
        <w:tc>
          <w:tcPr>
            <w:tcW w:w="122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2026-01-27</w:t>
            </w:r>
          </w:p>
        </w:tc>
        <w:tc>
          <w:tcPr>
            <w:tcW w:w="65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wtorek</w:t>
            </w:r>
          </w:p>
        </w:tc>
        <w:tc>
          <w:tcPr>
            <w:tcW w:w="767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hyperlink r:id="rId15">
              <w:r>
                <w:rPr>
                  <w:rStyle w:val="Czeinternetowe"/>
                </w:rPr>
                <w:t>C-802</w:t>
              </w:r>
            </w:hyperlink>
          </w:p>
        </w:tc>
        <w:tc>
          <w:tcPr>
            <w:tcW w:w="1893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17:30 - 19:10</w:t>
            </w:r>
          </w:p>
        </w:tc>
        <w:tc>
          <w:tcPr>
            <w:tcW w:w="4584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bCs/>
              </w:rPr>
              <w:t>Zakończenie zajęć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>HARMONOGRAM: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16"/>
      <w:headerReference w:type="default" r:id="rId17"/>
      <w:headerReference w:type="first" r:id="rId18"/>
      <w:footerReference w:type="even" r:id="rId19"/>
      <w:footerReference w:type="default" r:id="rId20"/>
      <w:footerReference w:type="first" r:id="rId21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8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274818"/>
    <w:pPr>
      <w:widowControl w:val="false"/>
      <w:suppressAutoHyphens w:val="true"/>
      <w:spacing w:lineRule="auto" w:line="240" w:before="0" w:after="0"/>
      <w:ind w:left="118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zh-CN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7735e6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Y2iqfc" w:customStyle="1">
    <w:name w:val="y2iqfc"/>
    <w:basedOn w:val="DefaultParagraphFont"/>
    <w:qFormat/>
    <w:rsid w:val="007735e6"/>
    <w:rPr/>
  </w:style>
  <w:style w:type="character" w:styleId="Strong">
    <w:name w:val="Strong"/>
    <w:basedOn w:val="DefaultParagraphFont"/>
    <w:uiPriority w:val="22"/>
    <w:qFormat/>
    <w:rsid w:val="00526eff"/>
    <w:rPr>
      <w:b/>
      <w:bCs/>
    </w:rPr>
  </w:style>
  <w:style w:type="character" w:styleId="Nagwek1Znak" w:customStyle="1">
    <w:name w:val="Nagłówek 1 Znak"/>
    <w:basedOn w:val="DefaultParagraphFont"/>
    <w:uiPriority w:val="1"/>
    <w:qFormat/>
    <w:rsid w:val="00274818"/>
    <w:rPr>
      <w:rFonts w:ascii="Times New Roman" w:hAnsi="Times New Roman" w:eastAsia="Times New Roman" w:cs="Times New Roman"/>
      <w:b/>
      <w:bCs/>
      <w:sz w:val="24"/>
      <w:szCs w:val="24"/>
      <w:lang w:eastAsia="zh-CN" w:bidi="th-TH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85c8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85c8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85c8a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1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7735e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85c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85c8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kul.pl/qlsale.html?op=2&amp;sid=C-802" TargetMode="External"/><Relationship Id="rId3" Type="http://schemas.openxmlformats.org/officeDocument/2006/relationships/hyperlink" Target="https://e.kul.pl/qlsale.html?op=2&amp;sid=C-802" TargetMode="External"/><Relationship Id="rId4" Type="http://schemas.openxmlformats.org/officeDocument/2006/relationships/hyperlink" Target="https://e.kul.pl/qlsale.html?op=2&amp;sid=C-802" TargetMode="External"/><Relationship Id="rId5" Type="http://schemas.openxmlformats.org/officeDocument/2006/relationships/hyperlink" Target="https://e.kul.pl/qlsale.html?op=2&amp;sid=C-802" TargetMode="External"/><Relationship Id="rId6" Type="http://schemas.openxmlformats.org/officeDocument/2006/relationships/hyperlink" Target="https://e.kul.pl/qlsale.html?op=2&amp;sid=C-802" TargetMode="External"/><Relationship Id="rId7" Type="http://schemas.openxmlformats.org/officeDocument/2006/relationships/hyperlink" Target="https://e.kul.pl/qlsale.html?op=2&amp;sid=C-802" TargetMode="External"/><Relationship Id="rId8" Type="http://schemas.openxmlformats.org/officeDocument/2006/relationships/hyperlink" Target="https://e.kul.pl/qlsale.html?op=2&amp;sid=C-802" TargetMode="External"/><Relationship Id="rId9" Type="http://schemas.openxmlformats.org/officeDocument/2006/relationships/hyperlink" Target="https://e.kul.pl/qlsale.html?op=2&amp;sid=C-802" TargetMode="External"/><Relationship Id="rId10" Type="http://schemas.openxmlformats.org/officeDocument/2006/relationships/hyperlink" Target="https://e.kul.pl/qlsale.html?op=2&amp;sid=C-802" TargetMode="External"/><Relationship Id="rId11" Type="http://schemas.openxmlformats.org/officeDocument/2006/relationships/hyperlink" Target="https://e.kul.pl/qlsale.html?op=2&amp;sid=C-802" TargetMode="External"/><Relationship Id="rId12" Type="http://schemas.openxmlformats.org/officeDocument/2006/relationships/hyperlink" Target="https://e.kul.pl/qlsale.html?op=2&amp;sid=C-802" TargetMode="External"/><Relationship Id="rId13" Type="http://schemas.openxmlformats.org/officeDocument/2006/relationships/hyperlink" Target="https://e.kul.pl/qlsale.html?op=2&amp;sid=C-802" TargetMode="External"/><Relationship Id="rId14" Type="http://schemas.openxmlformats.org/officeDocument/2006/relationships/hyperlink" Target="https://e.kul.pl/qlsale.html?op=2&amp;sid=C-802" TargetMode="External"/><Relationship Id="rId15" Type="http://schemas.openxmlformats.org/officeDocument/2006/relationships/hyperlink" Target="https://e.kul.pl/qlsale.html?op=2&amp;sid=C-802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footer" Target="footer1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FA86-9525-4118-94AD-B29F402C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5</Pages>
  <Words>1155</Words>
  <Characters>7759</Characters>
  <CharactersWithSpaces>8728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2025-11-14T19:07:00Z</dcterms:created>
  <dc:creator>Anna Łukasiewicz</dc:creator>
  <dc:description/>
  <dc:language>pl-PL</dc:language>
  <cp:lastModifiedBy>Katarzyna Zielińska - Król</cp:lastModifiedBy>
  <cp:lastPrinted>2025-10-07T07:35:00Z</cp:lastPrinted>
  <dcterms:modified xsi:type="dcterms:W3CDTF">2025-11-14T19:07:00Z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