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625" w:rsidRPr="009F7625" w:rsidRDefault="009F7625" w:rsidP="009F7625">
      <w:pPr>
        <w:shd w:val="clear" w:color="auto" w:fill="FFFFFF"/>
        <w:spacing w:after="0" w:line="234" w:lineRule="atLeast"/>
        <w:jc w:val="center"/>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Wyrok</w:t>
      </w:r>
      <w:r w:rsidRPr="009F7625">
        <w:rPr>
          <w:rFonts w:ascii="Verdana" w:eastAsia="Times New Roman" w:hAnsi="Verdana" w:cs="Times New Roman"/>
          <w:color w:val="000000"/>
          <w:sz w:val="18"/>
          <w:szCs w:val="18"/>
          <w:lang w:eastAsia="pl-PL"/>
        </w:rPr>
        <w:br/>
        <w:t>Sądu Apelacyjnego w Łodzi - I Wydział Cywilny</w:t>
      </w:r>
      <w:r w:rsidRPr="009F7625">
        <w:rPr>
          <w:rFonts w:ascii="Verdana" w:eastAsia="Times New Roman" w:hAnsi="Verdana" w:cs="Times New Roman"/>
          <w:color w:val="000000"/>
          <w:sz w:val="18"/>
          <w:szCs w:val="18"/>
          <w:lang w:eastAsia="pl-PL"/>
        </w:rPr>
        <w:br/>
        <w:t>z dnia 16 kwietnia 2014 r.</w:t>
      </w:r>
      <w:r w:rsidRPr="009F7625">
        <w:rPr>
          <w:rFonts w:ascii="Verdana" w:eastAsia="Times New Roman" w:hAnsi="Verdana" w:cs="Times New Roman"/>
          <w:color w:val="000000"/>
          <w:sz w:val="18"/>
          <w:szCs w:val="18"/>
          <w:lang w:eastAsia="pl-PL"/>
        </w:rPr>
        <w:br/>
        <w:t xml:space="preserve">I </w:t>
      </w:r>
      <w:proofErr w:type="spellStart"/>
      <w:r w:rsidRPr="009F7625">
        <w:rPr>
          <w:rFonts w:ascii="Verdana" w:eastAsia="Times New Roman" w:hAnsi="Verdana" w:cs="Times New Roman"/>
          <w:color w:val="000000"/>
          <w:sz w:val="18"/>
          <w:szCs w:val="18"/>
          <w:lang w:eastAsia="pl-PL"/>
        </w:rPr>
        <w:t>ACa</w:t>
      </w:r>
      <w:proofErr w:type="spellEnd"/>
      <w:r w:rsidRPr="009F7625">
        <w:rPr>
          <w:rFonts w:ascii="Verdana" w:eastAsia="Times New Roman" w:hAnsi="Verdana" w:cs="Times New Roman"/>
          <w:color w:val="000000"/>
          <w:sz w:val="18"/>
          <w:szCs w:val="18"/>
          <w:lang w:eastAsia="pl-PL"/>
        </w:rPr>
        <w:t xml:space="preserve"> 1157/13</w:t>
      </w:r>
    </w:p>
    <w:p w:rsidR="009F7625" w:rsidRPr="009F7625" w:rsidRDefault="009F7625" w:rsidP="009F7625">
      <w:pPr>
        <w:shd w:val="clear" w:color="auto" w:fill="FFFFFF"/>
        <w:spacing w:before="240" w:after="144" w:line="234" w:lineRule="atLeast"/>
        <w:outlineLvl w:val="2"/>
        <w:rPr>
          <w:rFonts w:ascii="Verdana" w:eastAsia="Times New Roman" w:hAnsi="Verdana" w:cs="Times New Roman"/>
          <w:b/>
          <w:bCs/>
          <w:color w:val="000000"/>
          <w:sz w:val="27"/>
          <w:szCs w:val="27"/>
          <w:lang w:eastAsia="pl-PL"/>
        </w:rPr>
      </w:pPr>
      <w:r w:rsidRPr="009F7625">
        <w:rPr>
          <w:rFonts w:ascii="Verdana" w:eastAsia="Times New Roman" w:hAnsi="Verdana" w:cs="Times New Roman"/>
          <w:b/>
          <w:bCs/>
          <w:color w:val="000000"/>
          <w:sz w:val="27"/>
          <w:szCs w:val="27"/>
          <w:lang w:eastAsia="pl-PL"/>
        </w:rPr>
        <w:t>Skład sądu</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SSA Hanna Rojewska</w:t>
      </w:r>
      <w:r w:rsidRPr="009F7625">
        <w:rPr>
          <w:rFonts w:ascii="Verdana" w:eastAsia="Times New Roman" w:hAnsi="Verdana" w:cs="Times New Roman"/>
          <w:color w:val="000000"/>
          <w:sz w:val="18"/>
          <w:szCs w:val="18"/>
          <w:lang w:eastAsia="pl-PL"/>
        </w:rPr>
        <w:br/>
        <w:t>Sędziowie:</w:t>
      </w:r>
      <w:r w:rsidRPr="009F7625">
        <w:rPr>
          <w:rFonts w:ascii="Verdana" w:eastAsia="Times New Roman" w:hAnsi="Verdana" w:cs="Times New Roman"/>
          <w:color w:val="000000"/>
          <w:sz w:val="18"/>
          <w:szCs w:val="18"/>
          <w:lang w:eastAsia="pl-PL"/>
        </w:rPr>
        <w:br/>
        <w:t>SSA Małgorzata Dzięciołowska</w:t>
      </w:r>
      <w:r w:rsidRPr="009F7625">
        <w:rPr>
          <w:rFonts w:ascii="Verdana" w:eastAsia="Times New Roman" w:hAnsi="Verdana" w:cs="Times New Roman"/>
          <w:color w:val="000000"/>
          <w:sz w:val="18"/>
          <w:szCs w:val="18"/>
          <w:lang w:eastAsia="pl-PL"/>
        </w:rPr>
        <w:br/>
        <w:t>SSO del. Jacek Pasikowski (</w:t>
      </w:r>
      <w:proofErr w:type="spellStart"/>
      <w:r w:rsidRPr="009F7625">
        <w:rPr>
          <w:rFonts w:ascii="Verdana" w:eastAsia="Times New Roman" w:hAnsi="Verdana" w:cs="Times New Roman"/>
          <w:color w:val="000000"/>
          <w:sz w:val="18"/>
          <w:szCs w:val="18"/>
          <w:lang w:eastAsia="pl-PL"/>
        </w:rPr>
        <w:t>spr</w:t>
      </w:r>
      <w:proofErr w:type="spellEnd"/>
      <w:r w:rsidRPr="009F7625">
        <w:rPr>
          <w:rFonts w:ascii="Verdana" w:eastAsia="Times New Roman" w:hAnsi="Verdana" w:cs="Times New Roman"/>
          <w:color w:val="000000"/>
          <w:sz w:val="18"/>
          <w:szCs w:val="18"/>
          <w:lang w:eastAsia="pl-PL"/>
        </w:rPr>
        <w:t>.)</w:t>
      </w:r>
    </w:p>
    <w:p w:rsidR="009F7625" w:rsidRPr="009F7625" w:rsidRDefault="009F7625" w:rsidP="009F7625">
      <w:pPr>
        <w:shd w:val="clear" w:color="auto" w:fill="FFFFFF"/>
        <w:spacing w:before="240" w:after="144" w:line="234" w:lineRule="atLeast"/>
        <w:outlineLvl w:val="2"/>
        <w:rPr>
          <w:rFonts w:ascii="Verdana" w:eastAsia="Times New Roman" w:hAnsi="Verdana" w:cs="Times New Roman"/>
          <w:b/>
          <w:bCs/>
          <w:color w:val="000000"/>
          <w:sz w:val="27"/>
          <w:szCs w:val="27"/>
          <w:lang w:eastAsia="pl-PL"/>
        </w:rPr>
      </w:pPr>
      <w:r w:rsidRPr="009F7625">
        <w:rPr>
          <w:rFonts w:ascii="Verdana" w:eastAsia="Times New Roman" w:hAnsi="Verdana" w:cs="Times New Roman"/>
          <w:b/>
          <w:bCs/>
          <w:color w:val="000000"/>
          <w:sz w:val="27"/>
          <w:szCs w:val="27"/>
          <w:lang w:eastAsia="pl-PL"/>
        </w:rPr>
        <w:t>Sentencja</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Sąd Apelacyjny w Łodzi - I Wydział Cywilny po rozpoznaniu w dniu 16 kwietnia 2014 r. w Łodzi na rozprawie sprawy z powództwa (...) Spółki z ograniczoną odpowiedzialnością z siedzibą w P. przeciwko (...) Spółce jawnej B. D. i G. B. w K. o zapłatę na skutek apelacji strony powodowej od wyroku Sądu Okręgowego w Łodzi z dnia 25 kwietnia 2013 r. sygn. akt X GC 203/10:</w:t>
      </w:r>
      <w:r w:rsidRPr="009F7625">
        <w:rPr>
          <w:rFonts w:ascii="Verdana" w:eastAsia="Times New Roman" w:hAnsi="Verdana" w:cs="Times New Roman"/>
          <w:color w:val="000000"/>
          <w:sz w:val="18"/>
          <w:szCs w:val="18"/>
          <w:lang w:eastAsia="pl-PL"/>
        </w:rPr>
        <w:br/>
        <w:t>1. oddala apelację;</w:t>
      </w:r>
      <w:r w:rsidRPr="009F7625">
        <w:rPr>
          <w:rFonts w:ascii="Verdana" w:eastAsia="Times New Roman" w:hAnsi="Verdana" w:cs="Times New Roman"/>
          <w:color w:val="000000"/>
          <w:sz w:val="18"/>
          <w:szCs w:val="18"/>
          <w:lang w:eastAsia="pl-PL"/>
        </w:rPr>
        <w:br/>
        <w:t>2. zasądza od (...) Spółki z ograniczoną odpowiedzialnością z siedzibą w P. na rzecz (...) Spółki jawnej B. D. i G. B. w K. kwotę 5.400 (pięć tysięcy czterysta) złotych tytułem zwrotu kosztów zastępstwa procesowego w postępowaniu apelacyjnym.</w:t>
      </w:r>
    </w:p>
    <w:p w:rsidR="009F7625" w:rsidRPr="009F7625" w:rsidRDefault="009F7625" w:rsidP="009F7625">
      <w:pPr>
        <w:shd w:val="clear" w:color="auto" w:fill="FFFFFF"/>
        <w:spacing w:before="240" w:after="144" w:line="234" w:lineRule="atLeast"/>
        <w:outlineLvl w:val="2"/>
        <w:rPr>
          <w:rFonts w:ascii="Verdana" w:eastAsia="Times New Roman" w:hAnsi="Verdana" w:cs="Times New Roman"/>
          <w:b/>
          <w:bCs/>
          <w:color w:val="000000"/>
          <w:sz w:val="27"/>
          <w:szCs w:val="27"/>
          <w:lang w:eastAsia="pl-PL"/>
        </w:rPr>
      </w:pPr>
      <w:r w:rsidRPr="009F7625">
        <w:rPr>
          <w:rFonts w:ascii="Verdana" w:eastAsia="Times New Roman" w:hAnsi="Verdana" w:cs="Times New Roman"/>
          <w:b/>
          <w:bCs/>
          <w:color w:val="000000"/>
          <w:sz w:val="27"/>
          <w:szCs w:val="27"/>
          <w:lang w:eastAsia="pl-PL"/>
        </w:rPr>
        <w:t>Uzasadnienie</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Zaskarżonym wyrokiem z dnia 25 kwietnia 2013 roku Sąd Okręgowy w Łodzi X Wydział Gospodarczy oddalił powództwo (...) Spółki z ograniczoną odpowiedzialnością z siedzibą w P. przeciwko (...) Spółce jawnej B. D., G. B. w K. o zasądzenie kwoty 223.187,00 złotych z ustawowymi odsetkami, zasądził od powoda na rzecz pozwanego kwotę 7.217,00 złotych tytułem zwrotu kosztów zastępstwa procesowego oraz nakazał pobrać od (...) Spółki z ograniczoną odpowiedzialnością z siedzibą w P. na rzecz Skarbu Państwa - Sądu Okręgowego w Łodzi kwotę 2.282,35 zł tytułem wydatków w toku postępowania poniesionych tymczasowo przez Skarb Państwa.</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Wyrok ten zapadł na podstawie ustaleń faktycznych Sądu Okręgowego, których istotne elementy przedstawiają się następująco:</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Powódka (...) Spółka z ograniczoną odpowiedzialnością z siedzibą w P. zajmuje się produkcją i handlem elementami drewnianymi. Pozwana (...) Spółka Jawna B. D. i G. B. z siedzibą w K. jest dystrybutorem płynnego, rozpuszczalnego w wodzie, solnego środka ochrony drewna przed grzybami, pleśniami i owadami - (...). Substancjami czynnymi produktu K. (...) jest tlenek miedzi C. (...)-0 o stężeniu 12,2% i kwas borny C. (...)-3 o stężeniu 3,8%. Do nasycenia drewna metodą próżniowo-ciśnieniową koncentrat można rozcieńczyć wodą do potrzebnej wartości procentowej roztworu. Aby otrzymać 10 m3 roztworu o stężeniu 3% należy 9,7 m3 (9700 litrów) wymieszać z 300 kg preparatu impregnacyjnego. W czwartej klasie drewna należy zaaplikować 8 kg impregnatu na 1 m3 drewna.</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 xml:space="preserve">W dniu 23 listopada 2006 roku powódka złożyła pozwanej zamówienie na dostarczenie dwóch kontenerów (1.400 kg) impregnatu chromowego i 2 kanistrów (25 kg) środka </w:t>
      </w:r>
      <w:proofErr w:type="spellStart"/>
      <w:r w:rsidRPr="009F7625">
        <w:rPr>
          <w:rFonts w:ascii="Verdana" w:eastAsia="Times New Roman" w:hAnsi="Verdana" w:cs="Times New Roman"/>
          <w:color w:val="000000"/>
          <w:sz w:val="18"/>
          <w:szCs w:val="18"/>
          <w:lang w:eastAsia="pl-PL"/>
        </w:rPr>
        <w:t>przeciwpleśniowego</w:t>
      </w:r>
      <w:proofErr w:type="spellEnd"/>
      <w:r w:rsidRPr="009F7625">
        <w:rPr>
          <w:rFonts w:ascii="Verdana" w:eastAsia="Times New Roman" w:hAnsi="Verdana" w:cs="Times New Roman"/>
          <w:color w:val="000000"/>
          <w:sz w:val="18"/>
          <w:szCs w:val="18"/>
          <w:lang w:eastAsia="pl-PL"/>
        </w:rPr>
        <w:t>, a przedmiotowy towar został dostarczony, co potwierdza faktura na kwotę 19.718,32 złotych, z terminem płatności do dnia 29 listopada 2006 roku.</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 xml:space="preserve">W dniu 13 grudnia 2006 roku powódka ponownie złożyła pozwanej kolejne zamówienie, tym razem na dostarczenie trzech kontenerów (1.400 kg) impregnatu chromowego i 3 kanistrów (25 kg) środka </w:t>
      </w:r>
      <w:proofErr w:type="spellStart"/>
      <w:r w:rsidRPr="009F7625">
        <w:rPr>
          <w:rFonts w:ascii="Verdana" w:eastAsia="Times New Roman" w:hAnsi="Verdana" w:cs="Times New Roman"/>
          <w:color w:val="000000"/>
          <w:sz w:val="18"/>
          <w:szCs w:val="18"/>
          <w:lang w:eastAsia="pl-PL"/>
        </w:rPr>
        <w:t>przeciwpleśniowego</w:t>
      </w:r>
      <w:proofErr w:type="spellEnd"/>
      <w:r w:rsidRPr="009F7625">
        <w:rPr>
          <w:rFonts w:ascii="Verdana" w:eastAsia="Times New Roman" w:hAnsi="Verdana" w:cs="Times New Roman"/>
          <w:color w:val="000000"/>
          <w:sz w:val="18"/>
          <w:szCs w:val="18"/>
          <w:lang w:eastAsia="pl-PL"/>
        </w:rPr>
        <w:t>, a przedmiotowy towar został dostarczony, co zostało potwierdza faktura na kwotę 29.483,24 złotych, z terminem płatności do dnia 22 grudnia 2006 roku.</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Impregnat (...) był dostarczany do powódki w pojemnikach o pojemności 1.000 l., na których naklejona była etykieta z nazwą impregnatu. Przy dostawie sprawdzane było, czy widniała plomba na górze pojemnika i na dole, przy korku, z którego pobierało się impregnat. Sprawdzano również, czy pod korkiem znajduje się dodatkowe zabezpieczenie w postaci folii.</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 xml:space="preserve">W przedsiębiorstwie powoda impregnacji dokonywano ręcznie. Autoklaw miał dwa zbiorniki - jeden, to zbiornik wyrównawczy, a drugi, to sam autoklaw. Przy procesie ręcznym, po zamknięciu autoklawu otwierany był zawór w pojemniku wyrównawczym, który łączył się z autoklawem i </w:t>
      </w:r>
      <w:r w:rsidRPr="009F7625">
        <w:rPr>
          <w:rFonts w:ascii="Verdana" w:eastAsia="Times New Roman" w:hAnsi="Verdana" w:cs="Times New Roman"/>
          <w:color w:val="000000"/>
          <w:sz w:val="18"/>
          <w:szCs w:val="18"/>
          <w:lang w:eastAsia="pl-PL"/>
        </w:rPr>
        <w:lastRenderedPageBreak/>
        <w:t>impregnat przepływał do autoklawu. Gdy ciśnienia wyrównywały się, załączana była pompa, która napełniała autoklaw do pełna. Przełożony pracownika zajmującego się impregnacją ustalał, w jakiej klasie impregnacji, czy w III czy w IV, należy impregnować drewno. W III klasie przypadały 4 kg impregnatu na 1 m3 drewna, a w IV klasie było to 8 kg impregnatu na 1 m3 drewna. Stężenie impregnatu utrzymywane w zbiorniku wyrównawczym było stałe.</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Zaimpregnowane (...) drewniane wyroby, zostały zbyte przez powoda francuskim przedsiębiorcom na podstawie jednoznacznie opisanych przez Sąd I instancji faktur VAT.</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 xml:space="preserve">W dniu 12 czerwca 2007 roku powodowa Spółka wystosowała do firmy (...), jednego z francuskich kontrahentów, e - maila, w którym wskazała, że faktura VAT nr (...) z dnia 12 marca 2007 roku na sumę 11.584,44 EURO za dostarczone impregnowane drewniane wyroby nie została uregulowana i poprosiła o określenie terminu zapłaty. W odpowiedzi, przedstawiciel firmy (...) poinformował powódkę, iż powyższa faktura jest zablokowana, gdyż drewno zostało poddane wadliwej obróbce i wszystkie zaimpregnowane wyroby powoda wysłane klientom firmy (...) zostały zwrócone przez nabywców. Firma (...) została obciążona kosztami odbioru transportu całości wadliwie zaimpregnowanych wyrobów powoda i ponownej wysyłki analogicznych wyrobów pochodzących od innego dostawcy. B. </w:t>
      </w:r>
      <w:proofErr w:type="spellStart"/>
      <w:r w:rsidRPr="009F7625">
        <w:rPr>
          <w:rFonts w:ascii="Verdana" w:eastAsia="Times New Roman" w:hAnsi="Verdana" w:cs="Times New Roman"/>
          <w:color w:val="000000"/>
          <w:sz w:val="18"/>
          <w:szCs w:val="18"/>
          <w:lang w:eastAsia="pl-PL"/>
        </w:rPr>
        <w:t>Pool</w:t>
      </w:r>
      <w:proofErr w:type="spellEnd"/>
      <w:r w:rsidRPr="009F7625">
        <w:rPr>
          <w:rFonts w:ascii="Verdana" w:eastAsia="Times New Roman" w:hAnsi="Verdana" w:cs="Times New Roman"/>
          <w:color w:val="000000"/>
          <w:sz w:val="18"/>
          <w:szCs w:val="18"/>
          <w:lang w:eastAsia="pl-PL"/>
        </w:rPr>
        <w:t xml:space="preserve"> poinformowała również, że przewiduje ekspertyzę (...), celem zbadania jakości wykonanej przez powódkę obróbki </w:t>
      </w:r>
      <w:proofErr w:type="spellStart"/>
      <w:r w:rsidRPr="009F7625">
        <w:rPr>
          <w:rFonts w:ascii="Verdana" w:eastAsia="Times New Roman" w:hAnsi="Verdana" w:cs="Times New Roman"/>
          <w:color w:val="000000"/>
          <w:sz w:val="18"/>
          <w:szCs w:val="18"/>
          <w:lang w:eastAsia="pl-PL"/>
        </w:rPr>
        <w:t>autoklawowej</w:t>
      </w:r>
      <w:proofErr w:type="spellEnd"/>
      <w:r w:rsidRPr="009F7625">
        <w:rPr>
          <w:rFonts w:ascii="Verdana" w:eastAsia="Times New Roman" w:hAnsi="Verdana" w:cs="Times New Roman"/>
          <w:color w:val="000000"/>
          <w:sz w:val="18"/>
          <w:szCs w:val="18"/>
          <w:lang w:eastAsia="pl-PL"/>
        </w:rPr>
        <w:t>. W dniu 13 czerwca 2007 roku przedstawiciel firmy (...) zwrócił się do powódki z prośbą o dostarczenia świadectwa obróbki klasy 4 norm europejskich, odpowiadającej dostawom z zablokowanej faktury, natomiast w dniu 10 lipca 2007 roku poinformował, że wyroby powódki zostały przekazane do ekspertyzy Laboratorium (...) w B.</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W dniu 17 lipca 2007 roku powódka otrzymała wiadomość e - mail od kolejnego francuskiego kontrahenta, który poinformował, że otrzymał ciężarówkę zawierającą wiele drewnianych kratownic z pleśnią. Wobec powyższego, produkty, które były w dobrym stanie, odbiorca przyjął, a pozostałe planuje zniszczyć w przeciągu 15 dni, chyba, że zostaną one zabrane przy kolejnej dostawie.</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 xml:space="preserve">W dniu 6 września 2007 roku firma (...) zgłosiła zastrzeżenia co do jakości wyprodukowanych przez powódkę towarów. Podniosła, że kufry, jakie otrzymała, nie mają tego samego wykończenia co kufry otrzymane jako próbki. Próbka posiada bowiem lepsze wykończenie oraz lepszą obróbkę </w:t>
      </w:r>
      <w:proofErr w:type="spellStart"/>
      <w:r w:rsidRPr="009F7625">
        <w:rPr>
          <w:rFonts w:ascii="Verdana" w:eastAsia="Times New Roman" w:hAnsi="Verdana" w:cs="Times New Roman"/>
          <w:color w:val="000000"/>
          <w:sz w:val="18"/>
          <w:szCs w:val="18"/>
          <w:lang w:eastAsia="pl-PL"/>
        </w:rPr>
        <w:t>autoklawową</w:t>
      </w:r>
      <w:proofErr w:type="spellEnd"/>
      <w:r w:rsidRPr="009F7625">
        <w:rPr>
          <w:rFonts w:ascii="Verdana" w:eastAsia="Times New Roman" w:hAnsi="Verdana" w:cs="Times New Roman"/>
          <w:color w:val="000000"/>
          <w:sz w:val="18"/>
          <w:szCs w:val="18"/>
          <w:lang w:eastAsia="pl-PL"/>
        </w:rPr>
        <w:t>, niż produkty dostarczone.</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W dniu 8 listopada 2007 roku następny z kontrahentów skierował do powódki e - maila, w którym podniósł, że w ostatnim czasie dotarło do niego wiele zastrzeżeń ze strony jego klientów, którzy zakupili osłony, gdyż okazały się one być pełne pleśni, poniszczone i nie nadające się do użytku. Wobec tej sytuacji, zmuszony był zorganizować dostawy zastępcze w celu wymiany osłon, dlatego też poprosił o modyfikację bieżącego zamówienia oraz o zagwarantowanie jakości nowych produktów.</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W lipcu 2007 roku powódka otrzymała informację, że próbka produktu pobrana po zamieszaniu (homogenizacji) z oryginalnego kontenera zawierającego koncentrat środka ochronnego typu (...) (dostarczony przez producenta środków ochrony drewna), została poddana analizie metodą absorpcyjnej spektrometrii atomowej (...) dla składników chromu i miedzi. Z wartości ustalonych w drodze analizy dokonano przeliczenia na surowce kwasu chromowego i tlenku miedzi. Po porównaniu zestawionych wartości, zauważona została duża różnica w przypadku składnika miedzi (12,2% - zawartość wg etykiety, 4% - zawartość ustalona analitycznie). Z ekspertyzy wynikało, że nierównomierne rozprowadzenie w kontenerze nie mogło być tego przyczyną, ponieważ dla środka typu (...) zasadniczo nieznane są tego rodzaju różnice i niejednorodności w odniesieniu do miedzi.</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Powódka ostatecznie od francuskich odbiorców nie otrzymała żadnej zapłaty za jedną z faktur, zaś w odniesieniu do pozostałych faktur w znacznej części zmuszona była zwrócić kontrahentom zdecydowaną większość otrzymanej zapłaty.</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 xml:space="preserve">W lipcu 2007 roku w powodowej Spółce pojawił się wspólnik pozwanej, który chciał poznać szczegóły zdarzenia będącego przedmiotem niniejszej sprawy. Okazany mu został </w:t>
      </w:r>
      <w:proofErr w:type="spellStart"/>
      <w:r w:rsidRPr="009F7625">
        <w:rPr>
          <w:rFonts w:ascii="Verdana" w:eastAsia="Times New Roman" w:hAnsi="Verdana" w:cs="Times New Roman"/>
          <w:color w:val="000000"/>
          <w:sz w:val="18"/>
          <w:szCs w:val="18"/>
          <w:lang w:eastAsia="pl-PL"/>
        </w:rPr>
        <w:t>rozplombowany</w:t>
      </w:r>
      <w:proofErr w:type="spellEnd"/>
      <w:r w:rsidRPr="009F7625">
        <w:rPr>
          <w:rFonts w:ascii="Verdana" w:eastAsia="Times New Roman" w:hAnsi="Verdana" w:cs="Times New Roman"/>
          <w:color w:val="000000"/>
          <w:sz w:val="18"/>
          <w:szCs w:val="18"/>
          <w:lang w:eastAsia="pl-PL"/>
        </w:rPr>
        <w:t xml:space="preserve"> kontener, w którym umieszczony był środek do impregnacji drewna. Umieszczona na nim etykieta była bardzo zniszczona.</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W piśmie z dnia 8 sierpnia 2007 roku powódka zawiadomiła pozwaną, iż w wyniku badań wyrobów gotowych powoda zaimpregnowanych środkiem ochronnym typu (...), zakupionym u pozwanej, zauważono dużą różnicę pomiędzy zawartością substancji czynnych podanych na etykiecie, a zawartością ustaloną analitycznie. W związku z powyższym, odbiorca powódki odmawia zapłaty za zakupiony wyrób. Powódka oświadczyła, że będzie żądać odszkodowania za straty poniesione w związku z zaistniałą sytuacją. Strona pozwana w żaden sposób nie zareagowała na powyższe pismo.</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lastRenderedPageBreak/>
        <w:t xml:space="preserve">W dniu 25 sierpnia 2008 roku (...) Przyrodniczy w P. Instytut (...), na zlecenie powodowej Spółki (...), sporządził sprawozdanie z realizacji pracy badawczej "Oznaczenie zawartości jonów miedzi w impregnacie (...)". Przedmiotem badania było oznaczenie stężenia impregnatu (...) pobranego z kontenera znajdującego się w nasycalni drewna w Ś. Jak wskazywała naklejka umieszczona na pojemniku, w którym znajdował się badany środek ochrony drewna, był to (...) firmy (...) </w:t>
      </w:r>
      <w:proofErr w:type="spellStart"/>
      <w:r w:rsidRPr="009F7625">
        <w:rPr>
          <w:rFonts w:ascii="Verdana" w:eastAsia="Times New Roman" w:hAnsi="Verdana" w:cs="Times New Roman"/>
          <w:color w:val="000000"/>
          <w:sz w:val="18"/>
          <w:szCs w:val="18"/>
          <w:lang w:eastAsia="pl-PL"/>
        </w:rPr>
        <w:t>spol</w:t>
      </w:r>
      <w:proofErr w:type="spellEnd"/>
      <w:r w:rsidRPr="009F7625">
        <w:rPr>
          <w:rFonts w:ascii="Verdana" w:eastAsia="Times New Roman" w:hAnsi="Verdana" w:cs="Times New Roman"/>
          <w:color w:val="000000"/>
          <w:sz w:val="18"/>
          <w:szCs w:val="18"/>
          <w:lang w:eastAsia="pl-PL"/>
        </w:rPr>
        <w:t xml:space="preserve">. </w:t>
      </w:r>
      <w:proofErr w:type="spellStart"/>
      <w:r w:rsidRPr="009F7625">
        <w:rPr>
          <w:rFonts w:ascii="Verdana" w:eastAsia="Times New Roman" w:hAnsi="Verdana" w:cs="Times New Roman"/>
          <w:color w:val="000000"/>
          <w:sz w:val="18"/>
          <w:szCs w:val="18"/>
          <w:lang w:eastAsia="pl-PL"/>
        </w:rPr>
        <w:t>sr</w:t>
      </w:r>
      <w:proofErr w:type="spellEnd"/>
      <w:r w:rsidRPr="009F7625">
        <w:rPr>
          <w:rFonts w:ascii="Verdana" w:eastAsia="Times New Roman" w:hAnsi="Verdana" w:cs="Times New Roman"/>
          <w:color w:val="000000"/>
          <w:sz w:val="18"/>
          <w:szCs w:val="18"/>
          <w:lang w:eastAsia="pl-PL"/>
        </w:rPr>
        <w:t xml:space="preserve">. o. J. ze V. (...), (...) P. - H. P. Impregnat w kontenerze został poddanymi homogenizacji za pomocą mieszadła mechanicznego. Następnie pobrano około jednego litra preparatu do pojemnika wykonanego z tworzywa sztucznego. W wyniku badań stwierdzono, że stężenie jonów miedzi w próbce pobranej z kontenera w przeliczeniu na tlenek miedzi II w impregnacie (...) wynosiła 5,38%, a jak wynika z informacji zawartych w opracowaniu I. H. - J i Q. K. (2004) stężenie jonów miedzi w przeliczeniu na </w:t>
      </w:r>
      <w:proofErr w:type="spellStart"/>
      <w:r w:rsidRPr="009F7625">
        <w:rPr>
          <w:rFonts w:ascii="Verdana" w:eastAsia="Times New Roman" w:hAnsi="Verdana" w:cs="Times New Roman"/>
          <w:color w:val="000000"/>
          <w:sz w:val="18"/>
          <w:szCs w:val="18"/>
          <w:lang w:eastAsia="pl-PL"/>
        </w:rPr>
        <w:t>CuO</w:t>
      </w:r>
      <w:proofErr w:type="spellEnd"/>
      <w:r w:rsidRPr="009F7625">
        <w:rPr>
          <w:rFonts w:ascii="Verdana" w:eastAsia="Times New Roman" w:hAnsi="Verdana" w:cs="Times New Roman"/>
          <w:color w:val="000000"/>
          <w:sz w:val="18"/>
          <w:szCs w:val="18"/>
          <w:lang w:eastAsia="pl-PL"/>
        </w:rPr>
        <w:t xml:space="preserve"> powinno wynosić 12,2% w tym środku ochrony drewna. W związku z powyższym preparat ten nie spełniał wymogów producenta i prawdopodobnie nie był to impregnat (...) lub stężenie koncentratu było zaniżone.</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 xml:space="preserve">W dniu 29 sierpnia 2007 roku wspomniana wcześniej francuska firma (...) otrzymała, wydany na jej zamówienie, raport z misji o nazwie "Charakterystyka obróbki elementów drewnianych do struktur basenowych", sporządzony przez (...) w B. W </w:t>
      </w:r>
      <w:proofErr w:type="spellStart"/>
      <w:r w:rsidRPr="009F7625">
        <w:rPr>
          <w:rFonts w:ascii="Verdana" w:eastAsia="Times New Roman" w:hAnsi="Verdana" w:cs="Times New Roman"/>
          <w:color w:val="000000"/>
          <w:sz w:val="18"/>
          <w:szCs w:val="18"/>
          <w:lang w:eastAsia="pl-PL"/>
        </w:rPr>
        <w:t>pkt</w:t>
      </w:r>
      <w:proofErr w:type="spellEnd"/>
      <w:r w:rsidRPr="009F7625">
        <w:rPr>
          <w:rFonts w:ascii="Verdana" w:eastAsia="Times New Roman" w:hAnsi="Verdana" w:cs="Times New Roman"/>
          <w:color w:val="000000"/>
          <w:sz w:val="18"/>
          <w:szCs w:val="18"/>
          <w:lang w:eastAsia="pl-PL"/>
        </w:rPr>
        <w:t xml:space="preserve"> 3 tegoż raportu wskazane zostało, że przekazane do badania elementy drewniane zostały obrobione przy pomocy środka do (...) do użytkowania we Francji w klasie IV użytkowej. Podkreślone jednak zostało, że pobrane próbki nie odpowiadały wymogom retencji w kategorii obróbki ochronnej 4 klasy użytkowej, zgodnie z normą (...)-3 z 1998 roku. Nie były tym samym zgodne z wykorzystaniem w IV klasie użytkowej we Francji. Do raportu dołączone było oświadczenie powódki, że elementy drewniane z faktury VAT nr (...) zostały poddane obróbce w klasie 4 przy pomocy produktu do (...), zakupionego u pozwanej i obróbka zgodna była ze świadectwem D. Instytut (...) oraz z normą obróbki klasy 4, gdzie m</w:t>
      </w:r>
      <w:r w:rsidRPr="009F7625">
        <w:rPr>
          <w:rFonts w:ascii="Verdana" w:eastAsia="Times New Roman" w:hAnsi="Verdana" w:cs="Times New Roman"/>
          <w:color w:val="000000"/>
          <w:sz w:val="18"/>
          <w:szCs w:val="18"/>
          <w:vertAlign w:val="superscript"/>
          <w:lang w:eastAsia="pl-PL"/>
        </w:rPr>
        <w:t>3</w:t>
      </w:r>
      <w:r w:rsidRPr="009F7625">
        <w:rPr>
          <w:rFonts w:ascii="Verdana" w:eastAsia="Times New Roman" w:hAnsi="Verdana" w:cs="Times New Roman"/>
          <w:color w:val="000000"/>
          <w:sz w:val="18"/>
          <w:lang w:eastAsia="pl-PL"/>
        </w:rPr>
        <w:t> </w:t>
      </w:r>
      <w:r w:rsidRPr="009F7625">
        <w:rPr>
          <w:rFonts w:ascii="Verdana" w:eastAsia="Times New Roman" w:hAnsi="Verdana" w:cs="Times New Roman"/>
          <w:color w:val="000000"/>
          <w:sz w:val="18"/>
          <w:szCs w:val="18"/>
          <w:lang w:eastAsia="pl-PL"/>
        </w:rPr>
        <w:t>obrabianego drewna powinien mieć 4 kg biorąc pod uwagę masę całkowitą obrabianego drewna. Dane niezbędne do sporządzenia raportu z misji przyjęto jedynie wedle słów klienta zlecającego, który nie przekazał żadnych informacji dotyczących natury produktu zastosowanej obróbki.</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Zawartość tlenku miedzi w badanym preparacie K. (...), wynosząca 3,3%, była znacznie mniejsza od podanej w karcie technicznej środka zawartości tego związku - 12,2%. Była zatem zbliżona do tej, oznaczonej w badaniach prywatnych wykonanych na zlecenie jednego z kontrahentów francuskich i jednocześnie mniejsza od wyniku stwierdzonego w badaniach prywatnych wykonanych na zlecenie samej powódki. Zawartość ta mogła być jednym z powodów niewielkiej zawartości preparatu w drewnie próbek badanych w (...) we Francji. Możliwym wyjaśnieniem przyczyny małej ilości preparatu w drewnie mogło być także zbytnie rozcieńczenie preparatu. Bez względu jednak na przyczynę, ta mała ilość preparatu mogła być powodem rozkładu drewna. Skutki przechowywania preparatu, biorąc pod uwagę różne, nie ustalone warunki przechowywania i postępowania z opakowaniem zawierającym pozostałość preparatu, były trudne do ustalenia, ale należało liczyć się z możliwością wystąpienia zmian. Nie można było również jasno ustalić, czy procesy nasycenia były prawidłowe.</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 xml:space="preserve">Skrót (...) oznacza preparaty zawierające przede wszystkim związki miedzi i chromu. Dużo mniejsze zawartości związków miedzi i chromu od występujących na etykiecie, przy jednoczesnym używaniu określenia (...), mogą mylnie sugerować wyższą zawartość tych substancji. Grupa preparatów określanych jako (...) ma z reguły bardzo podobny skład odnośnie do zawartości chromu i miedzi. Istnieją jednak różnice w tej zawartości odnośnie do konkretnych ilości poszczególnych związków zawierających te pierwiastki. W preparatach tego typu bywają również dodawane inne substancje. Nie było żadnych wskazań odnośnie tego, jaki środek ochrony drewna znajdował się w kontenerze udostępnionym do pobrania preparatu. (...) naszych warunkach klimatycznych, okresy występowania szczególnych warunków zagrożenia pojawiania się grzybów pleśniowych, wymagające dodawania dodatkowych substancji </w:t>
      </w:r>
      <w:proofErr w:type="spellStart"/>
      <w:r w:rsidRPr="009F7625">
        <w:rPr>
          <w:rFonts w:ascii="Verdana" w:eastAsia="Times New Roman" w:hAnsi="Verdana" w:cs="Times New Roman"/>
          <w:color w:val="000000"/>
          <w:sz w:val="18"/>
          <w:szCs w:val="18"/>
          <w:lang w:eastAsia="pl-PL"/>
        </w:rPr>
        <w:t>przeciwpleśniowych</w:t>
      </w:r>
      <w:proofErr w:type="spellEnd"/>
      <w:r w:rsidRPr="009F7625">
        <w:rPr>
          <w:rFonts w:ascii="Verdana" w:eastAsia="Times New Roman" w:hAnsi="Verdana" w:cs="Times New Roman"/>
          <w:color w:val="000000"/>
          <w:sz w:val="18"/>
          <w:szCs w:val="18"/>
          <w:lang w:eastAsia="pl-PL"/>
        </w:rPr>
        <w:t>, są stosunkowo krótkie, występują często w okresie letnim trwając w przybliżeniu jeden, czasem dwa miesiące, niekoniecznie w jednym ciągu czasu. Nie można wykluczyć wystąpienia tych szczególnych sytuacji w okresie późnej wiosny i wczesnej jesieni. To zagrożenie dotyczy jednak tylko okresu bezpośrednio po nasyceniu drewna metodą próżniowo - ciśnieniową z zastosowaniem roztworów wodnych i obejmuje tylko okres do przesuszenia drewna poniżej wilgotności sprzyjającej rozwojowi grzybów strzępkowych (pleśni).</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W dniu 1 kwietnia 2010 roku powódka wezwała pozwaną do zapłaty odszkodowania w wysokości 223.187,00 złotych, stanowiącego równowartość utraconych 58.020,44 Euro, w terminie 14 dni, pod rygorem skierowania sprawy do sądu, a przedmiotowa kwota stanowi równowartość 58.020,44 Euro, których to kwot ostatecznie powód nie otrzymał od francuskich kontrahentów za dostarczone impregnowane towary.</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lastRenderedPageBreak/>
        <w:t>W ocenie Sądu I instancji powództwo, jako nieusprawiedliwione co do zasady, podlegało oddaleniu w całości.</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Sąd Okręgowy w pierwszej kolejności odniósł się do podnoszonego przez pozwaną zarzutu przedawnienia, która twierdziła, iż powód nabył towar jako prowadzący działalność gospodarczą profesjonalista, a to oznacza, iż zgodnie z</w:t>
      </w:r>
      <w:r w:rsidRPr="009F7625">
        <w:rPr>
          <w:rFonts w:ascii="Verdana" w:eastAsia="Times New Roman" w:hAnsi="Verdana" w:cs="Times New Roman"/>
          <w:color w:val="000000"/>
          <w:sz w:val="18"/>
          <w:lang w:eastAsia="pl-PL"/>
        </w:rPr>
        <w:t> </w:t>
      </w:r>
      <w:hyperlink r:id="rId5" w:history="1">
        <w:r w:rsidRPr="009F7625">
          <w:rPr>
            <w:rFonts w:ascii="Verdana" w:eastAsia="Times New Roman" w:hAnsi="Verdana" w:cs="Times New Roman"/>
            <w:color w:val="CC0000"/>
            <w:sz w:val="18"/>
            <w:u w:val="single"/>
            <w:lang w:eastAsia="pl-PL"/>
          </w:rPr>
          <w:t>art. 554</w:t>
        </w:r>
      </w:hyperlink>
      <w:r w:rsidRPr="009F7625">
        <w:rPr>
          <w:rFonts w:ascii="Verdana" w:eastAsia="Times New Roman" w:hAnsi="Verdana" w:cs="Times New Roman"/>
          <w:color w:val="000000"/>
          <w:sz w:val="18"/>
          <w:lang w:eastAsia="pl-PL"/>
        </w:rPr>
        <w:t> </w:t>
      </w:r>
      <w:r w:rsidRPr="009F7625">
        <w:rPr>
          <w:rFonts w:ascii="Verdana" w:eastAsia="Times New Roman" w:hAnsi="Verdana" w:cs="Times New Roman"/>
          <w:color w:val="000000"/>
          <w:sz w:val="18"/>
          <w:szCs w:val="18"/>
          <w:lang w:eastAsia="pl-PL"/>
        </w:rPr>
        <w:t>KC, roszczenia z tytułu sprzedaży dokonanej w zakresie działalności przedsiębiorstwa sprzedawcy przedawniają się z upływem lat dwóch. Ponadto, zgodnie z</w:t>
      </w:r>
      <w:r w:rsidRPr="009F7625">
        <w:rPr>
          <w:rFonts w:ascii="Verdana" w:eastAsia="Times New Roman" w:hAnsi="Verdana" w:cs="Times New Roman"/>
          <w:color w:val="000000"/>
          <w:sz w:val="18"/>
          <w:lang w:eastAsia="pl-PL"/>
        </w:rPr>
        <w:t> </w:t>
      </w:r>
      <w:hyperlink r:id="rId6" w:history="1">
        <w:r w:rsidRPr="009F7625">
          <w:rPr>
            <w:rFonts w:ascii="Verdana" w:eastAsia="Times New Roman" w:hAnsi="Verdana" w:cs="Times New Roman"/>
            <w:color w:val="CC0000"/>
            <w:sz w:val="18"/>
            <w:u w:val="single"/>
            <w:lang w:eastAsia="pl-PL"/>
          </w:rPr>
          <w:t>art. 118</w:t>
        </w:r>
      </w:hyperlink>
      <w:r w:rsidRPr="009F7625">
        <w:rPr>
          <w:rFonts w:ascii="Verdana" w:eastAsia="Times New Roman" w:hAnsi="Verdana" w:cs="Times New Roman"/>
          <w:color w:val="000000"/>
          <w:sz w:val="18"/>
          <w:lang w:eastAsia="pl-PL"/>
        </w:rPr>
        <w:t> </w:t>
      </w:r>
      <w:r w:rsidRPr="009F7625">
        <w:rPr>
          <w:rFonts w:ascii="Verdana" w:eastAsia="Times New Roman" w:hAnsi="Verdana" w:cs="Times New Roman"/>
          <w:color w:val="000000"/>
          <w:sz w:val="18"/>
          <w:szCs w:val="18"/>
          <w:lang w:eastAsia="pl-PL"/>
        </w:rPr>
        <w:t>KC, wszelkie roszczenia związane z prowadzeniem działalności gospodarczej ulegają przedawnieniu w terminie trzech lat. Jednocześnie pozwana podniosła, że bezzasadna jest poczyniona przez powódkę próba zakwalifikowania sprzedaży wadliwego produktu jako deliktu, umożliwiająca ominięcie przepisów bezwzględnie obowiązujących dotyczących trzyletniego terminu przedawnienia wszelkich roszczeń związanych z prowadzeniem działalności gospodarczej. Wszak zgodnie z</w:t>
      </w:r>
      <w:r w:rsidRPr="009F7625">
        <w:rPr>
          <w:rFonts w:ascii="Verdana" w:eastAsia="Times New Roman" w:hAnsi="Verdana" w:cs="Times New Roman"/>
          <w:color w:val="000000"/>
          <w:sz w:val="18"/>
          <w:lang w:eastAsia="pl-PL"/>
        </w:rPr>
        <w:t> </w:t>
      </w:r>
      <w:hyperlink r:id="rId7" w:history="1">
        <w:r w:rsidRPr="009F7625">
          <w:rPr>
            <w:rFonts w:ascii="Verdana" w:eastAsia="Times New Roman" w:hAnsi="Verdana" w:cs="Times New Roman"/>
            <w:color w:val="CC0000"/>
            <w:sz w:val="18"/>
            <w:u w:val="single"/>
            <w:lang w:eastAsia="pl-PL"/>
          </w:rPr>
          <w:t>art. 415</w:t>
        </w:r>
      </w:hyperlink>
      <w:r w:rsidRPr="009F7625">
        <w:rPr>
          <w:rFonts w:ascii="Verdana" w:eastAsia="Times New Roman" w:hAnsi="Verdana" w:cs="Times New Roman"/>
          <w:color w:val="000000"/>
          <w:sz w:val="18"/>
          <w:lang w:eastAsia="pl-PL"/>
        </w:rPr>
        <w:t> </w:t>
      </w:r>
      <w:r w:rsidRPr="009F7625">
        <w:rPr>
          <w:rFonts w:ascii="Verdana" w:eastAsia="Times New Roman" w:hAnsi="Verdana" w:cs="Times New Roman"/>
          <w:color w:val="000000"/>
          <w:sz w:val="18"/>
          <w:szCs w:val="18"/>
          <w:lang w:eastAsia="pl-PL"/>
        </w:rPr>
        <w:t>KC, dla powstania odpowiedzialności deliktowej niezbędne jest wystąpienie bezprawnego działania sprawcy oraz zawinione jego działanie. Tymczasem wyprodukowanie towaru z wadami zmniejszającymi jego wartość nie stanowi czynu niedozwolonego i nie podlega odpowiedzialności deliktowej. Tym bardziej więc sprzedaż produktu wadliwego również nie może stanowić deliktu. W odmiennej sytuacji, przepisy regulujące terminy dochodzenia roszczeń z tytułu rękojmi, gwarancji, czy też przedawnienie się roszczeń wynikających ze sprzedaży byłyby zbędnymi, martwymi przepisami. Ustawodawca świadomie ustanowił krótsze terminy przedawnienia, czyniąc obrót gospodarczy pewniejszym.</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 xml:space="preserve">Z przedstawioną wyżej argumentacją nie zgodził się Sąd I instancji uznając, iż w przypadku sprzedaży towaru wadliwego może zachodzić odpowiedzialność deliktowa. Wprowadzenie bowiem do obrotu materiałów, które nie spełniają norm jakościowych jest zachowaniem zawinionym, rodzącym odpowiedzialność za szkodę opartą </w:t>
      </w:r>
      <w:proofErr w:type="spellStart"/>
      <w:r w:rsidRPr="009F7625">
        <w:rPr>
          <w:rFonts w:ascii="Verdana" w:eastAsia="Times New Roman" w:hAnsi="Verdana" w:cs="Times New Roman"/>
          <w:color w:val="000000"/>
          <w:sz w:val="18"/>
          <w:szCs w:val="18"/>
          <w:lang w:eastAsia="pl-PL"/>
        </w:rPr>
        <w:t>na</w:t>
      </w:r>
      <w:hyperlink r:id="rId8" w:history="1">
        <w:r w:rsidRPr="009F7625">
          <w:rPr>
            <w:rFonts w:ascii="Verdana" w:eastAsia="Times New Roman" w:hAnsi="Verdana" w:cs="Times New Roman"/>
            <w:color w:val="CC0000"/>
            <w:sz w:val="18"/>
            <w:u w:val="single"/>
            <w:lang w:eastAsia="pl-PL"/>
          </w:rPr>
          <w:t>art</w:t>
        </w:r>
        <w:proofErr w:type="spellEnd"/>
        <w:r w:rsidRPr="009F7625">
          <w:rPr>
            <w:rFonts w:ascii="Verdana" w:eastAsia="Times New Roman" w:hAnsi="Verdana" w:cs="Times New Roman"/>
            <w:color w:val="CC0000"/>
            <w:sz w:val="18"/>
            <w:u w:val="single"/>
            <w:lang w:eastAsia="pl-PL"/>
          </w:rPr>
          <w:t>. 415</w:t>
        </w:r>
      </w:hyperlink>
      <w:r w:rsidRPr="009F7625">
        <w:rPr>
          <w:rFonts w:ascii="Verdana" w:eastAsia="Times New Roman" w:hAnsi="Verdana" w:cs="Times New Roman"/>
          <w:color w:val="000000"/>
          <w:sz w:val="18"/>
          <w:lang w:eastAsia="pl-PL"/>
        </w:rPr>
        <w:t> </w:t>
      </w:r>
      <w:r w:rsidRPr="009F7625">
        <w:rPr>
          <w:rFonts w:ascii="Verdana" w:eastAsia="Times New Roman" w:hAnsi="Verdana" w:cs="Times New Roman"/>
          <w:color w:val="000000"/>
          <w:sz w:val="18"/>
          <w:szCs w:val="18"/>
          <w:lang w:eastAsia="pl-PL"/>
        </w:rPr>
        <w:t>KC, przy spełnieniu pozostałych przesłanek przepisem tym wymaganych. Jest zatem działaniem godzącym w normy o charakterze powszechnym, niezależnie od tego, że - w określonym stanie faktycznym - może rodzić odpowiedzialność także na innej podstawie. Bez wpływu na powyższą ocenę pozostaje, czy poszkodowanego i producenta w danym stanie faktycznym wiązał stosunek prawny oparty na umowie, lub udzieleniu gwarancji albowiem wyprodukowanie wadliwego towaru jest w tym wypadku samodzielnym źródłem odpowiedzialności.</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W ocenie Sądu I instancji stosownie do treści</w:t>
      </w:r>
      <w:r w:rsidRPr="009F7625">
        <w:rPr>
          <w:rFonts w:ascii="Verdana" w:eastAsia="Times New Roman" w:hAnsi="Verdana" w:cs="Times New Roman"/>
          <w:color w:val="000000"/>
          <w:sz w:val="18"/>
          <w:lang w:eastAsia="pl-PL"/>
        </w:rPr>
        <w:t> </w:t>
      </w:r>
      <w:hyperlink r:id="rId9" w:history="1">
        <w:r w:rsidRPr="009F7625">
          <w:rPr>
            <w:rFonts w:ascii="Verdana" w:eastAsia="Times New Roman" w:hAnsi="Verdana" w:cs="Times New Roman"/>
            <w:color w:val="CC0000"/>
            <w:sz w:val="18"/>
            <w:u w:val="single"/>
            <w:lang w:eastAsia="pl-PL"/>
          </w:rPr>
          <w:t>art. 443</w:t>
        </w:r>
      </w:hyperlink>
      <w:r w:rsidRPr="009F7625">
        <w:rPr>
          <w:rFonts w:ascii="Verdana" w:eastAsia="Times New Roman" w:hAnsi="Verdana" w:cs="Times New Roman"/>
          <w:color w:val="000000"/>
          <w:sz w:val="18"/>
          <w:lang w:eastAsia="pl-PL"/>
        </w:rPr>
        <w:t> </w:t>
      </w:r>
      <w:r w:rsidRPr="009F7625">
        <w:rPr>
          <w:rFonts w:ascii="Verdana" w:eastAsia="Times New Roman" w:hAnsi="Verdana" w:cs="Times New Roman"/>
          <w:color w:val="000000"/>
          <w:sz w:val="18"/>
          <w:szCs w:val="18"/>
          <w:lang w:eastAsia="pl-PL"/>
        </w:rPr>
        <w:t>KC, okoliczność, że działanie lub zaniechanie, z którego szkoda wynikła, stanowiło niewykonanie lub nienależyte wykonanie istniejącego uprzednio zobowiązania, nie wyłącza roszczenia o naprawienie szkody z tytułu czynu niedozwolonego, chyba że z treści istniejącego uprzednio zobowiązania wynika co innego. Niewykonanie lub nienależyte wykonanie zobowiązania może stanowić oczywiście zarazem czyn niedozwolony. Tak będzie, gdy dłużnik swoim zachowaniem naruszy nie tylko łączącą go z wierzycielem więź obligacyjną, ale także ogólne, powszechnie obowiązujące nakazy i zakazy, wynikające z norm prawnych oraz zasad współżycia społecznego W takim wypadku Kodeks cywilny dopuszcza zbieg roszczenia z tytułu niewykonania lub nienależytego wykonania zobowiązania i roszczenia z tytułu czynu niedozwolonego, pozostawiając poszkodowanemu wybór jednego z tych roszczeń. Zbieg odpowiedzialności zachodzi wówczas, gdy dłużnik nie tylko nie wykonuje lub nienależycie wykonuje swoje zobowiązania umowne, lecz jednocześnie narusza nakaz lub zakaz zobowiązujący go niezależnie od istniejącego pomiędzy stronami stosunku prawnego. Jego postępowanie ma wówczas charakter deliktu cywilnego. Jeśli w sytuacji zbiegu roszczeń brak będzie podstaw do przyjęcia prymatu odpowiedzialności deliktowej lub odpowiedzialności kontraktowej, wówczas zgodnie z brzmieniem przepisu</w:t>
      </w:r>
      <w:r w:rsidRPr="009F7625">
        <w:rPr>
          <w:rFonts w:ascii="Verdana" w:eastAsia="Times New Roman" w:hAnsi="Verdana" w:cs="Times New Roman"/>
          <w:color w:val="000000"/>
          <w:sz w:val="18"/>
          <w:lang w:eastAsia="pl-PL"/>
        </w:rPr>
        <w:t> </w:t>
      </w:r>
      <w:hyperlink r:id="rId10" w:history="1">
        <w:r w:rsidRPr="009F7625">
          <w:rPr>
            <w:rFonts w:ascii="Verdana" w:eastAsia="Times New Roman" w:hAnsi="Verdana" w:cs="Times New Roman"/>
            <w:color w:val="CC0000"/>
            <w:sz w:val="18"/>
            <w:u w:val="single"/>
            <w:lang w:eastAsia="pl-PL"/>
          </w:rPr>
          <w:t>art. 443</w:t>
        </w:r>
      </w:hyperlink>
      <w:r w:rsidRPr="009F7625">
        <w:rPr>
          <w:rFonts w:ascii="Verdana" w:eastAsia="Times New Roman" w:hAnsi="Verdana" w:cs="Times New Roman"/>
          <w:color w:val="000000"/>
          <w:sz w:val="18"/>
          <w:lang w:eastAsia="pl-PL"/>
        </w:rPr>
        <w:t> </w:t>
      </w:r>
      <w:r w:rsidRPr="009F7625">
        <w:rPr>
          <w:rFonts w:ascii="Verdana" w:eastAsia="Times New Roman" w:hAnsi="Verdana" w:cs="Times New Roman"/>
          <w:color w:val="000000"/>
          <w:sz w:val="18"/>
          <w:szCs w:val="18"/>
          <w:lang w:eastAsia="pl-PL"/>
        </w:rPr>
        <w:t>KC nastąpi konkurencja roszczeń odszkodowawczych, opartych na podstawie deliktowej i kontraktowej, a poszkodowany ma wybór jednego z tych roszczeń. Po dokonaniu wyboru roszczenia przez poszkodowanego - drugie roszczenie pozostaje bez biegu. Nie dochodzi jednak do jego wygaśnięcia, lecz stanie się ono bezprzedmiotowe z chwilą rozstrzygnięcia losów pierwszego. Wybór jednego z roszczeń</w:t>
      </w:r>
      <w:r w:rsidRPr="009F7625">
        <w:rPr>
          <w:rFonts w:ascii="Verdana" w:eastAsia="Times New Roman" w:hAnsi="Verdana" w:cs="Times New Roman"/>
          <w:color w:val="000000"/>
          <w:sz w:val="18"/>
          <w:lang w:eastAsia="pl-PL"/>
        </w:rPr>
        <w:t> </w:t>
      </w:r>
      <w:hyperlink r:id="rId11" w:history="1">
        <w:r w:rsidRPr="009F7625">
          <w:rPr>
            <w:rFonts w:ascii="Verdana" w:eastAsia="Times New Roman" w:hAnsi="Verdana" w:cs="Times New Roman"/>
            <w:color w:val="CC0000"/>
            <w:sz w:val="18"/>
            <w:u w:val="single"/>
            <w:lang w:eastAsia="pl-PL"/>
          </w:rPr>
          <w:t>art. 443</w:t>
        </w:r>
      </w:hyperlink>
      <w:r w:rsidRPr="009F7625">
        <w:rPr>
          <w:rFonts w:ascii="Verdana" w:eastAsia="Times New Roman" w:hAnsi="Verdana" w:cs="Times New Roman"/>
          <w:color w:val="000000"/>
          <w:sz w:val="18"/>
          <w:lang w:eastAsia="pl-PL"/>
        </w:rPr>
        <w:t> </w:t>
      </w:r>
      <w:r w:rsidRPr="009F7625">
        <w:rPr>
          <w:rFonts w:ascii="Verdana" w:eastAsia="Times New Roman" w:hAnsi="Verdana" w:cs="Times New Roman"/>
          <w:color w:val="000000"/>
          <w:sz w:val="18"/>
          <w:szCs w:val="18"/>
          <w:lang w:eastAsia="pl-PL"/>
        </w:rPr>
        <w:t>KC ma dla poszkodowanego doniosłe konsekwencje ze względu na istotne różnice zachodzące pomiędzy reżimem prawnym odpowiedzialności kontraktowej i reżimem prawnym odpowiedzialności deliktowej. Dotyczy to odmiennych terminów przedawnienia, niedopuszczalności dochodzenia zadośćuczynienia pieniężnego za doznaną krzywdę na podstawie przepisów o odpowiedzialności kontraktowej. W reżimie odpowiedzialności deliktowej zazwyczaj trudniejsza jest też sytuacja dowodowa, różny jest rozkład ciężaru dowodów, dłuższe są terminy przedawnienia Wybór jednego z roszczeń, o których mowa w</w:t>
      </w:r>
      <w:r w:rsidRPr="009F7625">
        <w:rPr>
          <w:rFonts w:ascii="Verdana" w:eastAsia="Times New Roman" w:hAnsi="Verdana" w:cs="Times New Roman"/>
          <w:color w:val="000000"/>
          <w:sz w:val="18"/>
          <w:lang w:eastAsia="pl-PL"/>
        </w:rPr>
        <w:t> </w:t>
      </w:r>
      <w:hyperlink r:id="rId12" w:history="1">
        <w:r w:rsidRPr="009F7625">
          <w:rPr>
            <w:rFonts w:ascii="Verdana" w:eastAsia="Times New Roman" w:hAnsi="Verdana" w:cs="Times New Roman"/>
            <w:color w:val="CC0000"/>
            <w:sz w:val="18"/>
            <w:u w:val="single"/>
            <w:lang w:eastAsia="pl-PL"/>
          </w:rPr>
          <w:t>art. 443</w:t>
        </w:r>
      </w:hyperlink>
      <w:r w:rsidRPr="009F7625">
        <w:rPr>
          <w:rFonts w:ascii="Verdana" w:eastAsia="Times New Roman" w:hAnsi="Verdana" w:cs="Times New Roman"/>
          <w:color w:val="000000"/>
          <w:sz w:val="18"/>
          <w:lang w:eastAsia="pl-PL"/>
        </w:rPr>
        <w:t> </w:t>
      </w:r>
      <w:r w:rsidRPr="009F7625">
        <w:rPr>
          <w:rFonts w:ascii="Verdana" w:eastAsia="Times New Roman" w:hAnsi="Verdana" w:cs="Times New Roman"/>
          <w:color w:val="000000"/>
          <w:sz w:val="18"/>
          <w:szCs w:val="18"/>
          <w:lang w:eastAsia="pl-PL"/>
        </w:rPr>
        <w:t xml:space="preserve">KC może być dokonany przez samo wskazanie faktów uzasadniających żądanie pozwu. Nie mniej jednak, wybór ten musi być wyraźny. Dopiero w razie wątpliwości co do dokonanego wyboru sąd powinien przyjąć taką podstawę prawną, która jest bardziej korzystna dla poszkodowanego Na gruncie przedmiotowej sprawy w </w:t>
      </w:r>
      <w:r w:rsidRPr="009F7625">
        <w:rPr>
          <w:rFonts w:ascii="Verdana" w:eastAsia="Times New Roman" w:hAnsi="Verdana" w:cs="Times New Roman"/>
          <w:color w:val="000000"/>
          <w:sz w:val="18"/>
          <w:szCs w:val="18"/>
          <w:lang w:eastAsia="pl-PL"/>
        </w:rPr>
        <w:lastRenderedPageBreak/>
        <w:t>ocenie Sądu I instancji niewątpliwym jest, że powódka, co istotne - reprezentowana przez profesjonalnego pełnomocnika - już pozwie, w sposób jednoznaczny powoływała się na bezprawne zachowanie pozwanej. Wskazała bowiem, że pozwana świadomie sprzedała jej towar, który w istocie nie był (...), nie posiadał zakładanych właściwości. Tak sformułowane powództwo zawierało więc odniesienia do okoliczności pozwalających stwierdzić spełnienie w sprawie przewidzianych w</w:t>
      </w:r>
      <w:r w:rsidRPr="009F7625">
        <w:rPr>
          <w:rFonts w:ascii="Verdana" w:eastAsia="Times New Roman" w:hAnsi="Verdana" w:cs="Times New Roman"/>
          <w:color w:val="000000"/>
          <w:sz w:val="18"/>
          <w:lang w:eastAsia="pl-PL"/>
        </w:rPr>
        <w:t> </w:t>
      </w:r>
      <w:hyperlink r:id="rId13" w:history="1">
        <w:r w:rsidRPr="009F7625">
          <w:rPr>
            <w:rFonts w:ascii="Verdana" w:eastAsia="Times New Roman" w:hAnsi="Verdana" w:cs="Times New Roman"/>
            <w:color w:val="CC0000"/>
            <w:sz w:val="18"/>
            <w:u w:val="single"/>
            <w:lang w:eastAsia="pl-PL"/>
          </w:rPr>
          <w:t>art. 415</w:t>
        </w:r>
      </w:hyperlink>
      <w:r w:rsidRPr="009F7625">
        <w:rPr>
          <w:rFonts w:ascii="Verdana" w:eastAsia="Times New Roman" w:hAnsi="Verdana" w:cs="Times New Roman"/>
          <w:color w:val="000000"/>
          <w:sz w:val="18"/>
          <w:lang w:eastAsia="pl-PL"/>
        </w:rPr>
        <w:t> </w:t>
      </w:r>
      <w:r w:rsidRPr="009F7625">
        <w:rPr>
          <w:rFonts w:ascii="Verdana" w:eastAsia="Times New Roman" w:hAnsi="Verdana" w:cs="Times New Roman"/>
          <w:color w:val="000000"/>
          <w:sz w:val="18"/>
          <w:szCs w:val="18"/>
          <w:lang w:eastAsia="pl-PL"/>
        </w:rPr>
        <w:t>KC przesłanek odpowiedzialności odszkodowawczej w postaci bezprawności i winy. W tej sytuacji powódka sama dokonała wyraźnego wyboru rodzaju dochodzonego roszczenia. Sąd mógłby dokonać wyboru rodzaju dochodzonego roszczenia, tj. przyjąć podstawę prawną najkorzystniejszą dla strony, w razie braku jej stanowiska w tej kwestii bądź też wątpliwości co do niewyraźnie dokonanego wyboru. Z taką sytuacją nie mieliśmy jednak do czynienia. Powódka dokonała bowiem samodzielnego i wyraźnego wyboru. Powyższy wywód Sąd I instancji poparł licznymi odwołaniami do poglądów doktryny i judykatury.</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Uwzględniając powyższe rozważania Sąd Okręgowy w Łodzi uznał, iż w sprawie nie mogło być mowy o przedawnieniu dochodzonego przez powódkę roszczenia, gdyż zgodnie z treścią</w:t>
      </w:r>
      <w:r w:rsidRPr="009F7625">
        <w:rPr>
          <w:rFonts w:ascii="Verdana" w:eastAsia="Times New Roman" w:hAnsi="Verdana" w:cs="Times New Roman"/>
          <w:color w:val="000000"/>
          <w:sz w:val="18"/>
          <w:lang w:eastAsia="pl-PL"/>
        </w:rPr>
        <w:t> </w:t>
      </w:r>
      <w:hyperlink r:id="rId14" w:history="1">
        <w:r w:rsidRPr="009F7625">
          <w:rPr>
            <w:rFonts w:ascii="Verdana" w:eastAsia="Times New Roman" w:hAnsi="Verdana" w:cs="Times New Roman"/>
            <w:color w:val="CC0000"/>
            <w:sz w:val="18"/>
            <w:u w:val="single"/>
            <w:lang w:eastAsia="pl-PL"/>
          </w:rPr>
          <w:t>art. 442</w:t>
        </w:r>
        <w:r w:rsidRPr="009F7625">
          <w:rPr>
            <w:rFonts w:ascii="Verdana" w:eastAsia="Times New Roman" w:hAnsi="Verdana" w:cs="Times New Roman"/>
            <w:color w:val="CC0000"/>
            <w:sz w:val="18"/>
            <w:u w:val="single"/>
            <w:vertAlign w:val="superscript"/>
            <w:lang w:eastAsia="pl-PL"/>
          </w:rPr>
          <w:t>1</w:t>
        </w:r>
        <w:r w:rsidRPr="009F7625">
          <w:rPr>
            <w:rFonts w:ascii="Verdana" w:eastAsia="Times New Roman" w:hAnsi="Verdana" w:cs="Times New Roman"/>
            <w:color w:val="CC0000"/>
            <w:sz w:val="18"/>
            <w:u w:val="single"/>
            <w:lang w:eastAsia="pl-PL"/>
          </w:rPr>
          <w:t> § 1</w:t>
        </w:r>
      </w:hyperlink>
      <w:r w:rsidRPr="009F7625">
        <w:rPr>
          <w:rFonts w:ascii="Verdana" w:eastAsia="Times New Roman" w:hAnsi="Verdana" w:cs="Times New Roman"/>
          <w:color w:val="000000"/>
          <w:sz w:val="18"/>
          <w:lang w:eastAsia="pl-PL"/>
        </w:rPr>
        <w:t> </w:t>
      </w:r>
      <w:r w:rsidRPr="009F7625">
        <w:rPr>
          <w:rFonts w:ascii="Verdana" w:eastAsia="Times New Roman" w:hAnsi="Verdana" w:cs="Times New Roman"/>
          <w:color w:val="000000"/>
          <w:sz w:val="18"/>
          <w:szCs w:val="18"/>
          <w:lang w:eastAsia="pl-PL"/>
        </w:rPr>
        <w:t>KC (do dnia 10 sierpnia 2007 roku odpowiednikiem tego przepisu był niemal identyczny w brzmieniu przepis art. 442 § 1 KC), roszczenie o naprawienie szkody wyrządzonej czynem niedozwolonym ulega przedawnieniu z upływem lat trzech od dnia, w którym poszkodowany dowiedział się o szkodzie i o osobie obowiązanej do jej naprawienia, jednakże termin ten nie może być dłuższy niż dziesięć lat od dnia, w którym nastąpiło zdarzenie wywołujące szkodę. Przepis ten zatem wiąże początek biegu terminu przedawnienia roszczenia wynikającego z czynu niedozwolonego z dniem, w którym poszkodowany dowiedział się o szkodzie i o osobie obowiązanej do jej naprawienia. Istotny jest fakt powzięcia przez poszkodowanego wiadomości o zaistnieniu szkody, a nie o jej rozmiarach i trwałości następstw. Oceny stanu wiedzy poszkodowanego nie można jednak dokonać w oderwaniu od realiów danego stanu faktycznego rodzącego szkodę. W niniejszym postępowaniu o powiadomieniu powódki o szkodzie można mówić w chwili otrzymania przez nią pierwszych sygnałów od jednego z francuskich kontrahentów, któremu sprzedała produkowany przez siebie towar, zaimpregnowany (...), na temat złej jakości dostarczonych przez nią produktów, tj. w dniu 11 maja 2007 roku, kiedy to przedstawiciel firmy (...) poinformował powódkę, że drewno, z którego wykonano zamówione elementy, nie jest właściwie obrobione, klienci nie przyjmują tego towaru i obciążają go kosztami transportu do zakładu. Skoro zatem pozew wniesiony został w dniu 2 kwietnia 2010 roku, powód wszczął zatem postępowanie przed upływem 3-letniego terminu przedawnienia.</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Z kolei odnosząc się do zasadniczych podstaw rozstrzygnięcia Sąd I instancji wskazał, że przesłankami odpowiedzialności na podstawie przepisu</w:t>
      </w:r>
      <w:r w:rsidRPr="009F7625">
        <w:rPr>
          <w:rFonts w:ascii="Verdana" w:eastAsia="Times New Roman" w:hAnsi="Verdana" w:cs="Times New Roman"/>
          <w:color w:val="000000"/>
          <w:sz w:val="18"/>
          <w:lang w:eastAsia="pl-PL"/>
        </w:rPr>
        <w:t> </w:t>
      </w:r>
      <w:hyperlink r:id="rId15" w:history="1">
        <w:r w:rsidRPr="009F7625">
          <w:rPr>
            <w:rFonts w:ascii="Verdana" w:eastAsia="Times New Roman" w:hAnsi="Verdana" w:cs="Times New Roman"/>
            <w:color w:val="CC0000"/>
            <w:sz w:val="18"/>
            <w:u w:val="single"/>
            <w:lang w:eastAsia="pl-PL"/>
          </w:rPr>
          <w:t>art. 415</w:t>
        </w:r>
      </w:hyperlink>
      <w:r w:rsidRPr="009F7625">
        <w:rPr>
          <w:rFonts w:ascii="Verdana" w:eastAsia="Times New Roman" w:hAnsi="Verdana" w:cs="Times New Roman"/>
          <w:color w:val="000000"/>
          <w:sz w:val="18"/>
          <w:lang w:eastAsia="pl-PL"/>
        </w:rPr>
        <w:t> </w:t>
      </w:r>
      <w:r w:rsidRPr="009F7625">
        <w:rPr>
          <w:rFonts w:ascii="Verdana" w:eastAsia="Times New Roman" w:hAnsi="Verdana" w:cs="Times New Roman"/>
          <w:color w:val="000000"/>
          <w:sz w:val="18"/>
          <w:szCs w:val="18"/>
          <w:lang w:eastAsia="pl-PL"/>
        </w:rPr>
        <w:t xml:space="preserve">KC są: szkoda, zawinione i bezprawne zachowanie się sprawcy szkody oraz normalny związek przyczynowy między takim zachowaniem się a szkodą. Bezprawność zachowania polega na przekroczeniu mierników i wzorców wynikających zarówno z wyraźnych przepisów, zwyczajów, utartej praktyki, jak i zasad współżycia społecznego Przyjmuje się, że bezprawność w rozumieniu reżimu deliktowego jest efektem ogólnego, normatywnego zakazu, skutecznego erga </w:t>
      </w:r>
      <w:proofErr w:type="spellStart"/>
      <w:r w:rsidRPr="009F7625">
        <w:rPr>
          <w:rFonts w:ascii="Verdana" w:eastAsia="Times New Roman" w:hAnsi="Verdana" w:cs="Times New Roman"/>
          <w:color w:val="000000"/>
          <w:sz w:val="18"/>
          <w:szCs w:val="18"/>
          <w:lang w:eastAsia="pl-PL"/>
        </w:rPr>
        <w:t>omnes</w:t>
      </w:r>
      <w:proofErr w:type="spellEnd"/>
      <w:r w:rsidRPr="009F7625">
        <w:rPr>
          <w:rFonts w:ascii="Verdana" w:eastAsia="Times New Roman" w:hAnsi="Verdana" w:cs="Times New Roman"/>
          <w:color w:val="000000"/>
          <w:sz w:val="18"/>
          <w:szCs w:val="18"/>
          <w:lang w:eastAsia="pl-PL"/>
        </w:rPr>
        <w:t>, niewyrządzania sobie nawzajem szkody. Czynem bezprawnym w rozumieniu odpowiedzialności deliktowej będzie takie wyrządzenie szkody, do którego dochodzi w warunkach złamania określonej reguły postępowania wyznaczonej przez normy prawne lub zasady współżycia społecznego, zaś stopień winy ma znaczenie drugorzędne w tym sensie, że sprawca szkody odpowiada w razie istnienia choćby lekkiego niedbalstwa (</w:t>
      </w:r>
      <w:proofErr w:type="spellStart"/>
      <w:r w:rsidRPr="009F7625">
        <w:rPr>
          <w:rFonts w:ascii="Verdana" w:eastAsia="Times New Roman" w:hAnsi="Verdana" w:cs="Times New Roman"/>
          <w:color w:val="000000"/>
          <w:sz w:val="18"/>
          <w:szCs w:val="18"/>
          <w:lang w:eastAsia="pl-PL"/>
        </w:rPr>
        <w:t>culpa</w:t>
      </w:r>
      <w:proofErr w:type="spellEnd"/>
      <w:r w:rsidRPr="009F7625">
        <w:rPr>
          <w:rFonts w:ascii="Verdana" w:eastAsia="Times New Roman" w:hAnsi="Verdana" w:cs="Times New Roman"/>
          <w:color w:val="000000"/>
          <w:sz w:val="18"/>
          <w:szCs w:val="18"/>
          <w:lang w:eastAsia="pl-PL"/>
        </w:rPr>
        <w:t xml:space="preserve"> </w:t>
      </w:r>
      <w:proofErr w:type="spellStart"/>
      <w:r w:rsidRPr="009F7625">
        <w:rPr>
          <w:rFonts w:ascii="Verdana" w:eastAsia="Times New Roman" w:hAnsi="Verdana" w:cs="Times New Roman"/>
          <w:color w:val="000000"/>
          <w:sz w:val="18"/>
          <w:szCs w:val="18"/>
          <w:lang w:eastAsia="pl-PL"/>
        </w:rPr>
        <w:t>levissima</w:t>
      </w:r>
      <w:proofErr w:type="spellEnd"/>
      <w:r w:rsidRPr="009F7625">
        <w:rPr>
          <w:rFonts w:ascii="Verdana" w:eastAsia="Times New Roman" w:hAnsi="Verdana" w:cs="Times New Roman"/>
          <w:color w:val="000000"/>
          <w:sz w:val="18"/>
          <w:szCs w:val="18"/>
          <w:lang w:eastAsia="pl-PL"/>
        </w:rPr>
        <w:t>).</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Zgodnie ze stanowiskiem Sądu I instancji na gruncie przedmiotowej sprawy nie ulega wątpliwości fakt poniesienia przez powódkę szkody. Rozważenia wymaga jednak druga z przesłanek odpowiedzialności z</w:t>
      </w:r>
      <w:r w:rsidRPr="009F7625">
        <w:rPr>
          <w:rFonts w:ascii="Verdana" w:eastAsia="Times New Roman" w:hAnsi="Verdana" w:cs="Times New Roman"/>
          <w:color w:val="000000"/>
          <w:sz w:val="18"/>
          <w:lang w:eastAsia="pl-PL"/>
        </w:rPr>
        <w:t> </w:t>
      </w:r>
      <w:hyperlink r:id="rId16" w:history="1">
        <w:r w:rsidRPr="009F7625">
          <w:rPr>
            <w:rFonts w:ascii="Verdana" w:eastAsia="Times New Roman" w:hAnsi="Verdana" w:cs="Times New Roman"/>
            <w:color w:val="CC0000"/>
            <w:sz w:val="18"/>
            <w:u w:val="single"/>
            <w:lang w:eastAsia="pl-PL"/>
          </w:rPr>
          <w:t>art. 415</w:t>
        </w:r>
      </w:hyperlink>
      <w:r w:rsidRPr="009F7625">
        <w:rPr>
          <w:rFonts w:ascii="Verdana" w:eastAsia="Times New Roman" w:hAnsi="Verdana" w:cs="Times New Roman"/>
          <w:color w:val="000000"/>
          <w:sz w:val="18"/>
          <w:lang w:eastAsia="pl-PL"/>
        </w:rPr>
        <w:t> </w:t>
      </w:r>
      <w:r w:rsidRPr="009F7625">
        <w:rPr>
          <w:rFonts w:ascii="Verdana" w:eastAsia="Times New Roman" w:hAnsi="Verdana" w:cs="Times New Roman"/>
          <w:color w:val="000000"/>
          <w:sz w:val="18"/>
          <w:szCs w:val="18"/>
          <w:lang w:eastAsia="pl-PL"/>
        </w:rPr>
        <w:t xml:space="preserve">KC, a mianowicie - bezprawność zachowania sprawcy szkody. Powódka twierdzi, że zdarzeniem bezprawnym wywołującym szkodę było świadome sprzedanie przez pozwaną towaru, który w istocie nie był zamówionym przez powodową Spółkę (...), nie posiadał zakładanych właściwości i którym to bezprawnym zachowaniem pozwana naruszyła zasady uczciwej przedsiębiorczości, dobre obyczaje kupieckie i zasady współżycia społecznego. Trudno jednak uznać, aby zgromadzony w sprawie materiał dowodowy potwierdził głoszone przez powódkę w tym zakresie twierdzenia. Przede wszystkim na uwagę zasługuje fakt, że z dołączonego do raportu z misji o nazwie "Charakterystyka obróbki elementów drewnianych do struktur basenowych", sporządzonego przez (...) w B., poświadczenia powódki wyraźnie wynikało, iż elementy drewniane z faktury VAT nr (...), będące przedmiotem analizy i badania, zostały poddane obróbce w klasie czwartej przy pomocy produktu do (...), zakupionego u pozwanej i że obróbka zgodna była ze świadectwem D. Instytut (...) oraz z normą obróbki klasy czwartej, gdzie m3 obrabianego drewna powinien mieć 4 kg (impregnatu) biorąc pod uwagę masę całkowitą </w:t>
      </w:r>
      <w:r w:rsidRPr="009F7625">
        <w:rPr>
          <w:rFonts w:ascii="Verdana" w:eastAsia="Times New Roman" w:hAnsi="Verdana" w:cs="Times New Roman"/>
          <w:color w:val="000000"/>
          <w:sz w:val="18"/>
          <w:szCs w:val="18"/>
          <w:lang w:eastAsia="pl-PL"/>
        </w:rPr>
        <w:lastRenderedPageBreak/>
        <w:t>obrabianego drewna. Tymczasem niewątpliwym jest, że według zaleceń producenta (...), w czwartej klasie drewna należy zaaplikować 8 kg impregnatu na 1 m3 drewna. Twierdzenia powódki, jakoby zapis o 4 kg preparatu, umieszczony w poświadczeniu, był wynikiem omyłki pisarskiej zdają się być gołosłowne i nie znajdujące racjonalnego uzasadnienia. Na uwagę zasługuje także ulotka informacyjna umieszczona na kontenerze z preparatem do impregnacji, z którego biegły sądowy dokonał pobrania próbek do badania, która, jeśli ją porównać z oryginalną ulotką preparatu K. (...) załączoną w aktach sprawy, zdaje się być różna. Faktem jest, że zdjęcia załączone w opinii biegłego (instytutu) przedstawiają tak naprawdę strzępki ulotki informacyjnej, nie mniej jednak możliwe jest wychwycenie elementów odróżniających ją od ulotki oryginalnej. W świetle powyższego nie jest wykluczone, że poboru próbek preparatu dokonano z całkiem innego zbiornika niż ten, w którym dostarczono przedmiotowy impregnat - wszak z zeznań świadków wyraźnie wynikało, że zbiornik, w którym dostarczano impregnat zawierał przyklejoną ulotkę z jego nazwą. Tymczasem wątpliwości strony powodowej co do prawdziwości zamówionego u pozwanej impregnatu dotyczą sytuacji, w której w pojemniku mającym zawierać impregnat (...) (według naklejonej na nim ulotki) znajdował się innego rodzaju impregnat. Co istotne, biegły w opinii swej podniósł, że nie było żadnych wskazań odnośnie tego, jaki środek ochrony drewna znajdował się w kontenerze udostępnionym do pobrania preparatu. Sąd I instancji wskazał również, iż dane niezbędne do sporządzenia raportu przez (...) w B. przyjęto jedynie wedle słów klienta zlecającego, zatem podmiotu francuskiego, który nie przekazał żadnych informacji dotyczących natury produktu, zastosowanego procesu obróbki. Z o kolei sprawozdanie sporządzone przez (...) Przyrodniczy w P., również nie wykluczało tego, że badany preparat nie spełniał wymogów producenta z uwagi na to, iż stężenie koncentratu było zaniżone (choć brane było również pod uwagę to, że preparat ten mógł nie być impregnatem (...)). Co charakterystyczne, strona powodowa zleciła sporządzenie powyższego sprawozdania wyłącznie w celu zbadania środka impregnującego, nie poddając analizie elementów drewnianych zwróconych jej w drodze reklamacji. Nie można było nie zauważyć i tego, że przedmiotem reklamacji były nie tylko towary o złej obróbce (źle zaimpregnowane), lecz również niewłaściwie wykończone czy wycięte.</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W ocenie Sądu Okręgowego wszystkie powyższe okoliczności nie pozwalały na bezkrytyczne przyjęcie twierdzeń powódki o bezprawności zachowania pozwanej Spółki. Wręcz przeciwnie - przyjęcie takiego założenia sprzeczne byłoby ze zgromadzonym w sprawie materiałem dowodowym, którego szczegółowa analiza nie wyklucza tego, że szkoda, jakiej doznała powódka, spowodowana została złym procesem impregnacyjnym zastosowanym przez nią samą. W konsekwencji powyższego, nie mogło być również mowy o normalnym związku przyczynowym między takim zachowaniem się pozwanej a szkodą. Wszak poniesioną przez siebie szkodę powódka utożsamia z bezprawnym zachowaniem pozwanej, o którym mowa powyżej, ono zaś - nie zostało skutecznie udowodnione.</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Wyrok Sądu Okręgowego w Łodzi z dnia 25 kwietnia 2013 roku w całości zaskarżyła strona powodowa zarzucając zaskarżonemu wyrokowi:</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1. błąd w ustaleniach faktycznych przyjętych za podstawę orzeczenia polegający na tym stwierdzeniu, że przyjęcie bezprawności zachowania pozwanego byłoby sprzeczne ze zgromadzonym w sprawie materiałem dowodowym - podczas, gdy prawidłowa analiza zgromadzonego materiału dowodowego doprowadziłaby do wniosku przeciwnego;</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2. naruszenie przepisów postępowania poprzez przekroczenie granicy swobodnej oceny dowodów (</w:t>
      </w:r>
      <w:hyperlink r:id="rId17" w:history="1">
        <w:r w:rsidRPr="009F7625">
          <w:rPr>
            <w:rFonts w:ascii="Verdana" w:eastAsia="Times New Roman" w:hAnsi="Verdana" w:cs="Times New Roman"/>
            <w:color w:val="CC0000"/>
            <w:sz w:val="18"/>
            <w:u w:val="single"/>
            <w:lang w:eastAsia="pl-PL"/>
          </w:rPr>
          <w:t>art. 233 § 1</w:t>
        </w:r>
      </w:hyperlink>
      <w:r w:rsidRPr="009F7625">
        <w:rPr>
          <w:rFonts w:ascii="Verdana" w:eastAsia="Times New Roman" w:hAnsi="Verdana" w:cs="Times New Roman"/>
          <w:color w:val="000000"/>
          <w:sz w:val="18"/>
          <w:lang w:eastAsia="pl-PL"/>
        </w:rPr>
        <w:t> </w:t>
      </w:r>
      <w:r w:rsidRPr="009F7625">
        <w:rPr>
          <w:rFonts w:ascii="Verdana" w:eastAsia="Times New Roman" w:hAnsi="Verdana" w:cs="Times New Roman"/>
          <w:color w:val="000000"/>
          <w:sz w:val="18"/>
          <w:szCs w:val="18"/>
          <w:lang w:eastAsia="pl-PL"/>
        </w:rPr>
        <w:t>KPC) poprzez:</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a) popełnienie przez sąd błędów w logicznym rozumowaniu oraz;</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b) pominięcie w rozważaniach istotnych dowodów: z zeznań świadków, wniosków opinii biegłych sądowych (Instytutu (...)), ekspertyz prywatnych i oparcia wyroku przede wszystkim na oczywiście błędnych i sprzecznych z resztą materiału dowodowego stwierdzeniach, że:</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 ekspertyza instytutu (...) wykazała, że obróbka zakwestionowanego drewna zgodna była ze świadectwem D. Instytut (...) oraz normą obróbki klasy czwartej, gdzie metr sześcienny obrabianego drewna powinien mieć 4 kg impregnatu w całkowitej masie obrabianego drewna, podczas gdy według zaleceń producenta (...), w czwartej klasie drewna należy zaaplikować 8 kg impregnatu na metr sześcienny drewna;</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 fragmenty (strzępki) napisów informacyjnych na kontenerze, które biegły sądowy znalazł (i zrobił ich zdjęcia), mogą świadczyć, iż poboru próbek do opinii dokonano z innego kontenera, niż tego który dostarczył pozwany;</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c) naruszenie przepisów postępowania w szczególności</w:t>
      </w:r>
      <w:r w:rsidRPr="009F7625">
        <w:rPr>
          <w:rFonts w:ascii="Verdana" w:eastAsia="Times New Roman" w:hAnsi="Verdana" w:cs="Times New Roman"/>
          <w:color w:val="000000"/>
          <w:sz w:val="18"/>
          <w:lang w:eastAsia="pl-PL"/>
        </w:rPr>
        <w:t> </w:t>
      </w:r>
      <w:hyperlink r:id="rId18" w:history="1">
        <w:r w:rsidRPr="009F7625">
          <w:rPr>
            <w:rFonts w:ascii="Verdana" w:eastAsia="Times New Roman" w:hAnsi="Verdana" w:cs="Times New Roman"/>
            <w:color w:val="CC0000"/>
            <w:sz w:val="18"/>
            <w:u w:val="single"/>
            <w:lang w:eastAsia="pl-PL"/>
          </w:rPr>
          <w:t>art. 328 § 2</w:t>
        </w:r>
      </w:hyperlink>
      <w:r w:rsidRPr="009F7625">
        <w:rPr>
          <w:rFonts w:ascii="Verdana" w:eastAsia="Times New Roman" w:hAnsi="Verdana" w:cs="Times New Roman"/>
          <w:color w:val="000000"/>
          <w:sz w:val="18"/>
          <w:lang w:eastAsia="pl-PL"/>
        </w:rPr>
        <w:t> </w:t>
      </w:r>
      <w:r w:rsidRPr="009F7625">
        <w:rPr>
          <w:rFonts w:ascii="Verdana" w:eastAsia="Times New Roman" w:hAnsi="Verdana" w:cs="Times New Roman"/>
          <w:color w:val="000000"/>
          <w:sz w:val="18"/>
          <w:szCs w:val="18"/>
          <w:lang w:eastAsia="pl-PL"/>
        </w:rPr>
        <w:t>KPC - poprzez niewskazanie w uzasadnieniu wyroku przyczyn, dla których Sąd I instancji odmówił wiarygodności zeznaniom świadków: S., K., C., zeznaniom J. M. oraz mocy dowodowej ekspertyzom prywatnym.</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lastRenderedPageBreak/>
        <w:t>Powód wniósł nadto o dopuszczenie dowodu z dokumentu w postaci załączonej do apelacji etykiety preparatu C. (...) (...), którego dystrybutorem był pozwany.</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Uzasadnienie wniesionej apelacji w istocie stanowi polemikę z ustaleniami dokonanymi przez Sąd I instancji i próbuje w odmienny sposób zinterpretować wyniki przeprowadzonego w sprawie postępowania dowodowego. W szczególności skarżący zakwestionował ustalenia Sądu I instancji dotyczące okoliczności i wniosków z przeprowadzonych badań spornego impregnatu dokonywanych tak na podstawie prywatnych ekspertyz, jak i przez biegłego sądowego twierdząc, iż przyjęte ostatecznie wnioski wywodzone z tychże badań. Apelujący podniósł nadto, iż przedmiotem badań biegłego sądowego mógł nie być (...), a inny środek chemiczny o nazwie C. (...).</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W konkluzji apelacji strona powodowa wniosła o zmianę zaskarżonego orzeczenia i zasądzenie od (...) Spółki jawnej B. D., G. B. w K. na rzecz powoda kwoty 223.187,00 złotych z ustawowymi odsetkami od dnia wniesienia pozwu do dnia zapłaty oraz o zasądzenie od pozwanego na rzecz powoda zwrotu kosztów postępowania, a w tym kosztów zastępstwa adwokackiego ewentualnie o uchylenie zaskarżonego wyroku i przekazanie sprawy do ponownego rozpoznania Sądowi Okręgowemu w Łodzi z uwzględnieniem kosztów dotychczasowego postępowania.</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W odpowiedzi na apelację pełnomocnik strony pozwanej wniósł o oddalenie apelacji i zasądzenie kosztów postępowania apelacyjnego podnosząc, iż Sąd I instancji - wbrew twierdzeniom skarżącego - w sposób wnikliwy przeprowadził postępowanie dowodowe i właściwie dokonał oceny zgromadzonego w sprawie materiału dowodowego, a tym samym zarzuty podniesione w apelacji są bezzasadne. (k. (...) - (...)).</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Z kolei w replice na odpowiedź na apelację pełnomocnik (...) Spółki z ograniczoną odpowiedzialnością w P. podtrzymał zarzuty stawiane w apelacji (k. (...) - (...)).</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Sąd Apelacyjny zważył, co następuje:</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Apelacja jako nieuzasadniona podlegała oddaleniu.</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W istocie zarzuty apelacji koncentrują się jedynie na ocenie zebranego w sprawie materiału dowodowego oraz przekroczeniu granic swobodnej oceny dowodów w szczególności w odniesieniu do ekspertyz (badań) preparatu będącego przedmiotem sporu niemniej jednak Sąd Apelacyjny potwierdza szeroko i dogłębnie uzasadnione stanowisko Sądu I instancji dotyczące dopuszczalności zbiegu roszczeń kontraktowych i deliktowych oraz niezasadność podnoszonego w niniejszej sprawie przez pozwanego zarzutu przedawnienia roszczeń powoda. Pozwala to bowiem na zwrócenie uwagi na zawarte w uzasadnieniu zaskarżonego wyroku stwierdzenie, iż obie strony sporu są przedsiębiorcami, a tym samym roszczenia z tytułu sprzedaży dokonanej przez powoda w ramach prowadzonej działalności gospodarczej na mocy</w:t>
      </w:r>
      <w:r w:rsidRPr="009F7625">
        <w:rPr>
          <w:rFonts w:ascii="Verdana" w:eastAsia="Times New Roman" w:hAnsi="Verdana" w:cs="Times New Roman"/>
          <w:color w:val="000000"/>
          <w:sz w:val="18"/>
          <w:lang w:eastAsia="pl-PL"/>
        </w:rPr>
        <w:t> </w:t>
      </w:r>
      <w:hyperlink r:id="rId19" w:history="1">
        <w:r w:rsidRPr="009F7625">
          <w:rPr>
            <w:rFonts w:ascii="Verdana" w:eastAsia="Times New Roman" w:hAnsi="Verdana" w:cs="Times New Roman"/>
            <w:color w:val="CC0000"/>
            <w:sz w:val="18"/>
            <w:u w:val="single"/>
            <w:lang w:eastAsia="pl-PL"/>
          </w:rPr>
          <w:t>art. 554</w:t>
        </w:r>
      </w:hyperlink>
      <w:r w:rsidRPr="009F7625">
        <w:rPr>
          <w:rFonts w:ascii="Verdana" w:eastAsia="Times New Roman" w:hAnsi="Verdana" w:cs="Times New Roman"/>
          <w:color w:val="000000"/>
          <w:sz w:val="18"/>
          <w:lang w:eastAsia="pl-PL"/>
        </w:rPr>
        <w:t> </w:t>
      </w:r>
      <w:r w:rsidRPr="009F7625">
        <w:rPr>
          <w:rFonts w:ascii="Verdana" w:eastAsia="Times New Roman" w:hAnsi="Verdana" w:cs="Times New Roman"/>
          <w:color w:val="000000"/>
          <w:sz w:val="18"/>
          <w:szCs w:val="18"/>
          <w:lang w:eastAsia="pl-PL"/>
        </w:rPr>
        <w:t>KC przedawniają się z upływem 2 lat, zaś ogólnie z mocy</w:t>
      </w:r>
      <w:r w:rsidRPr="009F7625">
        <w:rPr>
          <w:rFonts w:ascii="Verdana" w:eastAsia="Times New Roman" w:hAnsi="Verdana" w:cs="Times New Roman"/>
          <w:color w:val="000000"/>
          <w:sz w:val="18"/>
          <w:lang w:eastAsia="pl-PL"/>
        </w:rPr>
        <w:t> </w:t>
      </w:r>
      <w:hyperlink r:id="rId20" w:history="1">
        <w:r w:rsidRPr="009F7625">
          <w:rPr>
            <w:rFonts w:ascii="Verdana" w:eastAsia="Times New Roman" w:hAnsi="Verdana" w:cs="Times New Roman"/>
            <w:color w:val="CC0000"/>
            <w:sz w:val="18"/>
            <w:u w:val="single"/>
            <w:lang w:eastAsia="pl-PL"/>
          </w:rPr>
          <w:t>art. 118</w:t>
        </w:r>
      </w:hyperlink>
      <w:r w:rsidRPr="009F7625">
        <w:rPr>
          <w:rFonts w:ascii="Verdana" w:eastAsia="Times New Roman" w:hAnsi="Verdana" w:cs="Times New Roman"/>
          <w:color w:val="000000"/>
          <w:sz w:val="18"/>
          <w:lang w:eastAsia="pl-PL"/>
        </w:rPr>
        <w:t> </w:t>
      </w:r>
      <w:r w:rsidRPr="009F7625">
        <w:rPr>
          <w:rFonts w:ascii="Verdana" w:eastAsia="Times New Roman" w:hAnsi="Verdana" w:cs="Times New Roman"/>
          <w:color w:val="000000"/>
          <w:sz w:val="18"/>
          <w:szCs w:val="18"/>
          <w:lang w:eastAsia="pl-PL"/>
        </w:rPr>
        <w:t>KC roszczenia z tytułu prowadzonej działalności gospodarczej przedawniają się z upływem 3 lat. Oczywistym jest, iż ustawodawca skracając we wskazany wyżej sposób ogólne terminy przedawnienia miał na celu swego rodzaju zdyscyplinowanie przedsiębiorców i zapewnienie pewności obrotu gospodarczego. Celowi temu służą także inne przepisy prawa, a w szczególności przepisy prawa handlowego, a jego reżimowi podlegają obie strony niniejszego postępowania. W szczególności KSH wprowadza miernik podwyższonej staranności w odniesieniu do osób wchodzących w skład zarządu spółki z ograniczona odpowiedzialnością (a także innych organów). Wykonywanie obowiązków przez członków zarządu organów spółki winno się zatem odbywać z zachowaniem staranności wynikającej z zawodowego charakteru ich działalności. Obejmuje to w szczególności znajomość procesów organizacyjnych, finansowych, ale także kierowanie zasobami ludzkimi oraz obowiązek znajomości przepisów prawa i następstw wynikających z ich naruszenia (patrz: orzeczenie Sądu Najwyższego z dnia 17 sierpnia 1993 r.,</w:t>
      </w:r>
      <w:r w:rsidRPr="009F7625">
        <w:rPr>
          <w:rFonts w:ascii="Verdana" w:eastAsia="Times New Roman" w:hAnsi="Verdana" w:cs="Times New Roman"/>
          <w:color w:val="000000"/>
          <w:sz w:val="18"/>
          <w:lang w:eastAsia="pl-PL"/>
        </w:rPr>
        <w:t> </w:t>
      </w:r>
      <w:bookmarkStart w:id="0" w:name="orz.85130065"/>
      <w:r w:rsidRPr="009F7625">
        <w:rPr>
          <w:rFonts w:ascii="Verdana" w:eastAsia="Times New Roman" w:hAnsi="Verdana" w:cs="Times New Roman"/>
          <w:color w:val="000000"/>
          <w:sz w:val="18"/>
          <w:szCs w:val="18"/>
          <w:lang w:eastAsia="pl-PL"/>
        </w:rPr>
        <w:fldChar w:fldCharType="begin"/>
      </w:r>
      <w:r w:rsidRPr="009F7625">
        <w:rPr>
          <w:rFonts w:ascii="Verdana" w:eastAsia="Times New Roman" w:hAnsi="Verdana" w:cs="Times New Roman"/>
          <w:color w:val="000000"/>
          <w:sz w:val="18"/>
          <w:szCs w:val="18"/>
          <w:lang w:eastAsia="pl-PL"/>
        </w:rPr>
        <w:instrText xml:space="preserve"> HYPERLINK "https://sip.legalis.pl/document-view.seam?documentId=mrswglryguytgmbqgy2q" </w:instrText>
      </w:r>
      <w:r w:rsidRPr="009F7625">
        <w:rPr>
          <w:rFonts w:ascii="Verdana" w:eastAsia="Times New Roman" w:hAnsi="Verdana" w:cs="Times New Roman"/>
          <w:color w:val="000000"/>
          <w:sz w:val="18"/>
          <w:szCs w:val="18"/>
          <w:lang w:eastAsia="pl-PL"/>
        </w:rPr>
        <w:fldChar w:fldCharType="separate"/>
      </w:r>
      <w:r w:rsidRPr="009F7625">
        <w:rPr>
          <w:rFonts w:ascii="Verdana" w:eastAsia="Times New Roman" w:hAnsi="Verdana" w:cs="Times New Roman"/>
          <w:color w:val="CC0000"/>
          <w:sz w:val="18"/>
          <w:u w:val="single"/>
          <w:lang w:eastAsia="pl-PL"/>
        </w:rPr>
        <w:t>III CRN 77/93</w:t>
      </w:r>
      <w:r w:rsidRPr="009F7625">
        <w:rPr>
          <w:rFonts w:ascii="Verdana" w:eastAsia="Times New Roman" w:hAnsi="Verdana" w:cs="Times New Roman"/>
          <w:color w:val="000000"/>
          <w:sz w:val="18"/>
          <w:szCs w:val="18"/>
          <w:lang w:eastAsia="pl-PL"/>
        </w:rPr>
        <w:fldChar w:fldCharType="end"/>
      </w:r>
      <w:bookmarkEnd w:id="0"/>
      <w:r w:rsidRPr="009F7625">
        <w:rPr>
          <w:rFonts w:ascii="Verdana" w:eastAsia="Times New Roman" w:hAnsi="Verdana" w:cs="Times New Roman"/>
          <w:color w:val="000000"/>
          <w:sz w:val="18"/>
          <w:szCs w:val="18"/>
          <w:lang w:eastAsia="pl-PL"/>
        </w:rPr>
        <w:t>, OSN 1994, Nr 3, poz. 69; uchwała Sądu Najwyższego z dnia 18 grudnia 1990 r.</w:t>
      </w:r>
      <w:r w:rsidRPr="009F7625">
        <w:rPr>
          <w:rFonts w:ascii="Verdana" w:eastAsia="Times New Roman" w:hAnsi="Verdana" w:cs="Times New Roman"/>
          <w:color w:val="000000"/>
          <w:sz w:val="18"/>
          <w:lang w:eastAsia="pl-PL"/>
        </w:rPr>
        <w:t> </w:t>
      </w:r>
      <w:bookmarkStart w:id="1" w:name="orz.17692"/>
      <w:r w:rsidRPr="009F7625">
        <w:rPr>
          <w:rFonts w:ascii="Verdana" w:eastAsia="Times New Roman" w:hAnsi="Verdana" w:cs="Times New Roman"/>
          <w:color w:val="000000"/>
          <w:sz w:val="18"/>
          <w:szCs w:val="18"/>
          <w:lang w:eastAsia="pl-PL"/>
        </w:rPr>
        <w:fldChar w:fldCharType="begin"/>
      </w:r>
      <w:r w:rsidRPr="009F7625">
        <w:rPr>
          <w:rFonts w:ascii="Verdana" w:eastAsia="Times New Roman" w:hAnsi="Verdana" w:cs="Times New Roman"/>
          <w:color w:val="000000"/>
          <w:sz w:val="18"/>
          <w:szCs w:val="18"/>
          <w:lang w:eastAsia="pl-PL"/>
        </w:rPr>
        <w:instrText xml:space="preserve"> HYPERLINK "https://sip.legalis.pl/document-view.seam?documentId=mrswglrrg43dsmq" </w:instrText>
      </w:r>
      <w:r w:rsidRPr="009F7625">
        <w:rPr>
          <w:rFonts w:ascii="Verdana" w:eastAsia="Times New Roman" w:hAnsi="Verdana" w:cs="Times New Roman"/>
          <w:color w:val="000000"/>
          <w:sz w:val="18"/>
          <w:szCs w:val="18"/>
          <w:lang w:eastAsia="pl-PL"/>
        </w:rPr>
        <w:fldChar w:fldCharType="separate"/>
      </w:r>
      <w:r w:rsidRPr="009F7625">
        <w:rPr>
          <w:rFonts w:ascii="Verdana" w:eastAsia="Times New Roman" w:hAnsi="Verdana" w:cs="Times New Roman"/>
          <w:color w:val="CC0000"/>
          <w:sz w:val="18"/>
          <w:u w:val="single"/>
          <w:lang w:eastAsia="pl-PL"/>
        </w:rPr>
        <w:t>III CZP 77/90</w:t>
      </w:r>
      <w:r w:rsidRPr="009F7625">
        <w:rPr>
          <w:rFonts w:ascii="Verdana" w:eastAsia="Times New Roman" w:hAnsi="Verdana" w:cs="Times New Roman"/>
          <w:color w:val="000000"/>
          <w:sz w:val="18"/>
          <w:szCs w:val="18"/>
          <w:lang w:eastAsia="pl-PL"/>
        </w:rPr>
        <w:fldChar w:fldCharType="end"/>
      </w:r>
      <w:bookmarkEnd w:id="1"/>
      <w:r w:rsidRPr="009F7625">
        <w:rPr>
          <w:rFonts w:ascii="Verdana" w:eastAsia="Times New Roman" w:hAnsi="Verdana" w:cs="Times New Roman"/>
          <w:color w:val="000000"/>
          <w:sz w:val="18"/>
          <w:szCs w:val="18"/>
          <w:lang w:eastAsia="pl-PL"/>
        </w:rPr>
        <w:t>, OSN 1991, nr 5 - 6, poz. 65; orzeczenie Sądu Apelacyjnego w Katowicach z dnia 30 kwietnia 1993 r.,</w:t>
      </w:r>
      <w:r w:rsidRPr="009F7625">
        <w:rPr>
          <w:rFonts w:ascii="Verdana" w:eastAsia="Times New Roman" w:hAnsi="Verdana" w:cs="Times New Roman"/>
          <w:color w:val="000000"/>
          <w:sz w:val="18"/>
          <w:lang w:eastAsia="pl-PL"/>
        </w:rPr>
        <w:t> </w:t>
      </w:r>
      <w:bookmarkStart w:id="2" w:name="orz.24145"/>
      <w:r w:rsidRPr="009F7625">
        <w:rPr>
          <w:rFonts w:ascii="Verdana" w:eastAsia="Times New Roman" w:hAnsi="Verdana" w:cs="Times New Roman"/>
          <w:color w:val="000000"/>
          <w:sz w:val="18"/>
          <w:szCs w:val="18"/>
          <w:lang w:eastAsia="pl-PL"/>
        </w:rPr>
        <w:fldChar w:fldCharType="begin"/>
      </w:r>
      <w:r w:rsidRPr="009F7625">
        <w:rPr>
          <w:rFonts w:ascii="Verdana" w:eastAsia="Times New Roman" w:hAnsi="Verdana" w:cs="Times New Roman"/>
          <w:color w:val="000000"/>
          <w:sz w:val="18"/>
          <w:szCs w:val="18"/>
          <w:lang w:eastAsia="pl-PL"/>
        </w:rPr>
        <w:instrText xml:space="preserve"> HYPERLINK "https://sip.legalis.pl/document-view.seam?documentId=mrswglrsgqytini" </w:instrText>
      </w:r>
      <w:r w:rsidRPr="009F7625">
        <w:rPr>
          <w:rFonts w:ascii="Verdana" w:eastAsia="Times New Roman" w:hAnsi="Verdana" w:cs="Times New Roman"/>
          <w:color w:val="000000"/>
          <w:sz w:val="18"/>
          <w:szCs w:val="18"/>
          <w:lang w:eastAsia="pl-PL"/>
        </w:rPr>
        <w:fldChar w:fldCharType="separate"/>
      </w:r>
      <w:r w:rsidRPr="009F7625">
        <w:rPr>
          <w:rFonts w:ascii="Verdana" w:eastAsia="Times New Roman" w:hAnsi="Verdana" w:cs="Times New Roman"/>
          <w:color w:val="CC0000"/>
          <w:sz w:val="18"/>
          <w:u w:val="single"/>
          <w:lang w:eastAsia="pl-PL"/>
        </w:rPr>
        <w:t>I ACR 115/93</w:t>
      </w:r>
      <w:r w:rsidRPr="009F7625">
        <w:rPr>
          <w:rFonts w:ascii="Verdana" w:eastAsia="Times New Roman" w:hAnsi="Verdana" w:cs="Times New Roman"/>
          <w:color w:val="000000"/>
          <w:sz w:val="18"/>
          <w:szCs w:val="18"/>
          <w:lang w:eastAsia="pl-PL"/>
        </w:rPr>
        <w:fldChar w:fldCharType="end"/>
      </w:r>
      <w:bookmarkEnd w:id="2"/>
      <w:r w:rsidRPr="009F7625">
        <w:rPr>
          <w:rFonts w:ascii="Verdana" w:eastAsia="Times New Roman" w:hAnsi="Verdana" w:cs="Times New Roman"/>
          <w:color w:val="000000"/>
          <w:sz w:val="18"/>
          <w:szCs w:val="18"/>
          <w:lang w:eastAsia="pl-PL"/>
        </w:rPr>
        <w:t>, OSA 1994, z. 1, poz. 7). W doktrynie podnoszone jest, iż podjęcie się wykonywania obowiązków członka zarządu w sytuacji braku odpowiedniego wykształcenia i wiadomości lub doświadczenia potrzebnego do prowadzenia spraw spółki powinno być kwalifikowane jako naruszenie wymaganej staranności i sumienności (patrz: W. Kubala "Ochrona praw wierzycieli na podstawie</w:t>
      </w:r>
      <w:r w:rsidRPr="009F7625">
        <w:rPr>
          <w:rFonts w:ascii="Verdana" w:eastAsia="Times New Roman" w:hAnsi="Verdana" w:cs="Times New Roman"/>
          <w:color w:val="000000"/>
          <w:sz w:val="18"/>
          <w:lang w:eastAsia="pl-PL"/>
        </w:rPr>
        <w:t> </w:t>
      </w:r>
      <w:hyperlink r:id="rId21" w:history="1">
        <w:r w:rsidRPr="009F7625">
          <w:rPr>
            <w:rFonts w:ascii="Verdana" w:eastAsia="Times New Roman" w:hAnsi="Verdana" w:cs="Times New Roman"/>
            <w:color w:val="CC0000"/>
            <w:sz w:val="18"/>
            <w:u w:val="single"/>
            <w:lang w:eastAsia="pl-PL"/>
          </w:rPr>
          <w:t>art. 298</w:t>
        </w:r>
      </w:hyperlink>
      <w:r w:rsidRPr="009F7625">
        <w:rPr>
          <w:rFonts w:ascii="Verdana" w:eastAsia="Times New Roman" w:hAnsi="Verdana" w:cs="Times New Roman"/>
          <w:color w:val="000000"/>
          <w:sz w:val="18"/>
          <w:lang w:eastAsia="pl-PL"/>
        </w:rPr>
        <w:t> </w:t>
      </w:r>
      <w:r w:rsidRPr="009F7625">
        <w:rPr>
          <w:rFonts w:ascii="Verdana" w:eastAsia="Times New Roman" w:hAnsi="Verdana" w:cs="Times New Roman"/>
          <w:color w:val="000000"/>
          <w:sz w:val="18"/>
          <w:szCs w:val="18"/>
          <w:lang w:eastAsia="pl-PL"/>
        </w:rPr>
        <w:t>KH" Prawo Spółek 1998 r. nr 1 str.2 i nast.). W doktrynie podnoszone jest, iż podjęcie się wykonywania obowiązków członka zarządu w sytuacji braku odpowiedniego wykształcenia i wiadomości lub doświadczenia potrzebnego do prowadzenia spraw spółki powinno być kwalifikowane jako naruszenie wymaganej staranności i sumienności (patrz: W. Kubala "Ochrona praw wierzycieli na podstawie</w:t>
      </w:r>
      <w:r w:rsidRPr="009F7625">
        <w:rPr>
          <w:rFonts w:ascii="Verdana" w:eastAsia="Times New Roman" w:hAnsi="Verdana" w:cs="Times New Roman"/>
          <w:color w:val="000000"/>
          <w:sz w:val="18"/>
          <w:lang w:eastAsia="pl-PL"/>
        </w:rPr>
        <w:t> </w:t>
      </w:r>
      <w:hyperlink r:id="rId22" w:history="1">
        <w:r w:rsidRPr="009F7625">
          <w:rPr>
            <w:rFonts w:ascii="Verdana" w:eastAsia="Times New Roman" w:hAnsi="Verdana" w:cs="Times New Roman"/>
            <w:color w:val="CC0000"/>
            <w:sz w:val="18"/>
            <w:u w:val="single"/>
            <w:lang w:eastAsia="pl-PL"/>
          </w:rPr>
          <w:t>art. 298</w:t>
        </w:r>
      </w:hyperlink>
      <w:r w:rsidRPr="009F7625">
        <w:rPr>
          <w:rFonts w:ascii="Verdana" w:eastAsia="Times New Roman" w:hAnsi="Verdana" w:cs="Times New Roman"/>
          <w:color w:val="000000"/>
          <w:sz w:val="18"/>
          <w:lang w:eastAsia="pl-PL"/>
        </w:rPr>
        <w:t> </w:t>
      </w:r>
      <w:r w:rsidRPr="009F7625">
        <w:rPr>
          <w:rFonts w:ascii="Verdana" w:eastAsia="Times New Roman" w:hAnsi="Verdana" w:cs="Times New Roman"/>
          <w:color w:val="000000"/>
          <w:sz w:val="18"/>
          <w:szCs w:val="18"/>
          <w:lang w:eastAsia="pl-PL"/>
        </w:rPr>
        <w:t>KH" Prawo Spółek 1998 r. nr 1 str.2 i nast.).</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 xml:space="preserve">W kontekście powyższych uwag szczególnego znaczenia w niniejszej sprawie nabiera przeprowadzony podczas rozprawy w dniu 16 stycznia 2013 roku dowód z przesłuchania stron, który w szczególny sposób nie był eksponowany w uzasadnieniu wyroku Sądu I instancji. </w:t>
      </w:r>
      <w:r w:rsidRPr="009F7625">
        <w:rPr>
          <w:rFonts w:ascii="Verdana" w:eastAsia="Times New Roman" w:hAnsi="Verdana" w:cs="Times New Roman"/>
          <w:color w:val="000000"/>
          <w:sz w:val="18"/>
          <w:szCs w:val="18"/>
          <w:lang w:eastAsia="pl-PL"/>
        </w:rPr>
        <w:lastRenderedPageBreak/>
        <w:t>Przesłuchany w charakterze strony Prezes Zarządu powodowej Spółki (...) potwierdził, iż w roku 2006 roku nabył od pozwanego impregnat a po ujawnieniu się reklamacji francuskich kontrahentów uznał, iż powód otrzymał coś co nie nadaje się do impregnacji i wówczas "zaprosiłem pana G. B. do mnie ponieważ został mi jeden kontener po sezonie chciałem mu odsprzedać to jest coś około 10 tysięcy złotych kosztował ten kontener. Pan G. powiedział mi, że może mi wymienić ten impregnat na inny i tak się skończyła nasza rozmowa. J. chciałem zamienić czegoś na coś, myślałem że chociaż 10 tysięcy z 60 które zapłaciłem za impregnat odzyskam, a kosztowało mnie to pół miliona" (e - protokół rozprawy z dnia 16 stycznia 2013 roku od 0:08 do 0:09:30).</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 xml:space="preserve">Z kolei wspólnik pozwanej G. B. przesłuchany w charakterze strony podczas tej samej rozprawy potwierdził, iż w drugiej połowie maja 2007 roku spotkał się z J. M., ale wówczas nie okazano mu jakiejkolwiek próbki zakwestionowanego przez odbiorców francuskich drewna, a zatem nie jest możliwe ustalenie czy drewno poddane zostało impregnacji faktycznie preparatem K. (...) oraz czy właściwie przeprowadzono proces impregnacji. Pozwany nie chciał zwrócić mu kontenera, a strony negocjowały dalsze zakupy, zaś okazany mu kontener z impregnatem był </w:t>
      </w:r>
      <w:proofErr w:type="spellStart"/>
      <w:r w:rsidRPr="009F7625">
        <w:rPr>
          <w:rFonts w:ascii="Verdana" w:eastAsia="Times New Roman" w:hAnsi="Verdana" w:cs="Times New Roman"/>
          <w:color w:val="000000"/>
          <w:sz w:val="18"/>
          <w:szCs w:val="18"/>
          <w:lang w:eastAsia="pl-PL"/>
        </w:rPr>
        <w:t>rozplombowany</w:t>
      </w:r>
      <w:proofErr w:type="spellEnd"/>
      <w:r w:rsidRPr="009F7625">
        <w:rPr>
          <w:rFonts w:ascii="Verdana" w:eastAsia="Times New Roman" w:hAnsi="Verdana" w:cs="Times New Roman"/>
          <w:color w:val="000000"/>
          <w:sz w:val="18"/>
          <w:szCs w:val="18"/>
          <w:lang w:eastAsia="pl-PL"/>
        </w:rPr>
        <w:t xml:space="preserve"> i nie było na nim oznaczeń. (e - protokół rozprawy z dnia 16 stycznia 2013 roku od 0:33 do 0:40:23).</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Skoro zatem Prezes Zarządu (...) Spółki z ograniczoną odpowiedzialnością sam przyznaje, iż po uzyskaniu reklamacji od francuskich odbiorców jego wyrobów spotkał się ze wspólnikiem pozwanej G. B. i jedynie próbował zbyć mu pozostały po sezonie ostatni kontener impregnatu to trudno uznawać racjonalnie, iż jego celem była reklamacja całej partii - wadliwego w ocenie powoda - impregnatu. W szczególności żaden materiał dowodowy sprawy nie wskazuje by powód w sposób w sposób prawem przewidzianym zawiadamiał powoda o wadach dostarczonego impregnatu (</w:t>
      </w:r>
      <w:hyperlink r:id="rId23" w:history="1">
        <w:r w:rsidRPr="009F7625">
          <w:rPr>
            <w:rFonts w:ascii="Verdana" w:eastAsia="Times New Roman" w:hAnsi="Verdana" w:cs="Times New Roman"/>
            <w:color w:val="CC0000"/>
            <w:sz w:val="18"/>
            <w:u w:val="single"/>
            <w:lang w:eastAsia="pl-PL"/>
          </w:rPr>
          <w:t>art. 563 § 2 i 3</w:t>
        </w:r>
      </w:hyperlink>
      <w:r w:rsidRPr="009F7625">
        <w:rPr>
          <w:rFonts w:ascii="Verdana" w:eastAsia="Times New Roman" w:hAnsi="Verdana" w:cs="Times New Roman"/>
          <w:color w:val="000000"/>
          <w:sz w:val="18"/>
          <w:lang w:eastAsia="pl-PL"/>
        </w:rPr>
        <w:t> </w:t>
      </w:r>
      <w:r w:rsidRPr="009F7625">
        <w:rPr>
          <w:rFonts w:ascii="Verdana" w:eastAsia="Times New Roman" w:hAnsi="Verdana" w:cs="Times New Roman"/>
          <w:color w:val="000000"/>
          <w:sz w:val="18"/>
          <w:szCs w:val="18"/>
          <w:lang w:eastAsia="pl-PL"/>
        </w:rPr>
        <w:t>KC). Oczywistym jest, iż przedmiotowa notyfikacja wad dotyczyłaby reżimu kontaktowej odpowiedzialności, zaś pozew w niniejszej sprawie obejmuje odpowiedzialność deliktową niemniej jednak nie można uznać by jakkolwiek przepis prawa zwalniał Prezesa Zarządu powoda od zaniechania takich aktów staranności. Wyprzedzając nieco dalszy tok wywodu to dlaczego skoro w ocenie powoda w dacie spotkania z G. B. pozostały kontener impregnatu był zaplombowany, powód nie zaproponował wówczas komisyjnego pobrania próbki preparatu celem poddania badaniom i wreszcie dlaczego później dokonując zerwania plomby i pobrania próbki do badań nie powiadomił o tej czynności z wyprzedzeniem pozwanego, a nawet nie utrwalił przebiegu tej czynności, co przy obecnie dostępnych środkach technicznych nie byłoby czynnością skomplikowaną i kosztowną. Powyższe zaniechanie w istocie obciążają powoda. Zgodnie z</w:t>
      </w:r>
      <w:r w:rsidRPr="009F7625">
        <w:rPr>
          <w:rFonts w:ascii="Verdana" w:eastAsia="Times New Roman" w:hAnsi="Verdana" w:cs="Times New Roman"/>
          <w:color w:val="000000"/>
          <w:sz w:val="18"/>
          <w:lang w:eastAsia="pl-PL"/>
        </w:rPr>
        <w:t> </w:t>
      </w:r>
      <w:hyperlink r:id="rId24" w:history="1">
        <w:r w:rsidRPr="009F7625">
          <w:rPr>
            <w:rFonts w:ascii="Verdana" w:eastAsia="Times New Roman" w:hAnsi="Verdana" w:cs="Times New Roman"/>
            <w:color w:val="CC0000"/>
            <w:sz w:val="18"/>
            <w:u w:val="single"/>
            <w:lang w:eastAsia="pl-PL"/>
          </w:rPr>
          <w:t>art. 293 § 2</w:t>
        </w:r>
      </w:hyperlink>
      <w:r w:rsidRPr="009F7625">
        <w:rPr>
          <w:rFonts w:ascii="Verdana" w:eastAsia="Times New Roman" w:hAnsi="Verdana" w:cs="Times New Roman"/>
          <w:color w:val="000000"/>
          <w:sz w:val="18"/>
          <w:lang w:eastAsia="pl-PL"/>
        </w:rPr>
        <w:t> </w:t>
      </w:r>
      <w:r w:rsidRPr="009F7625">
        <w:rPr>
          <w:rFonts w:ascii="Verdana" w:eastAsia="Times New Roman" w:hAnsi="Verdana" w:cs="Times New Roman"/>
          <w:color w:val="000000"/>
          <w:sz w:val="18"/>
          <w:szCs w:val="18"/>
          <w:lang w:eastAsia="pl-PL"/>
        </w:rPr>
        <w:t xml:space="preserve">KSH - członek zarządu powinien przy wykonywaniu swoich obowiązków dołożyć staranności wynikającej z zawodowego charakteru swojej działalności. W konsekwencji zaniechanie wykonania tego obowiązku, a więc zaniechanie formalnych aktów notyfikacji wad, nie dokonanie komisyjnego - z udziałem pozwanej - otwarcia zaplombowanego kontenera impregnatu celem pobrania próbek, czy brak dostarczenia próbek impregnowanych wyrobów z drewna zakwestionowanych przez zagranicznych odbiorców stanowiło co najmniej rażące niedbalstwo, a przez to nie zasługuje na ochronę (zgodnie z łacińską </w:t>
      </w:r>
      <w:proofErr w:type="spellStart"/>
      <w:r w:rsidRPr="009F7625">
        <w:rPr>
          <w:rFonts w:ascii="Verdana" w:eastAsia="Times New Roman" w:hAnsi="Verdana" w:cs="Times New Roman"/>
          <w:color w:val="000000"/>
          <w:sz w:val="18"/>
          <w:szCs w:val="18"/>
          <w:lang w:eastAsia="pl-PL"/>
        </w:rPr>
        <w:t>paremią</w:t>
      </w:r>
      <w:proofErr w:type="spellEnd"/>
      <w:r w:rsidRPr="009F7625">
        <w:rPr>
          <w:rFonts w:ascii="Verdana" w:eastAsia="Times New Roman" w:hAnsi="Verdana" w:cs="Times New Roman"/>
          <w:color w:val="000000"/>
          <w:sz w:val="18"/>
          <w:szCs w:val="18"/>
          <w:lang w:eastAsia="pl-PL"/>
        </w:rPr>
        <w:t xml:space="preserve"> </w:t>
      </w:r>
      <w:proofErr w:type="spellStart"/>
      <w:r w:rsidRPr="009F7625">
        <w:rPr>
          <w:rFonts w:ascii="Verdana" w:eastAsia="Times New Roman" w:hAnsi="Verdana" w:cs="Times New Roman"/>
          <w:color w:val="000000"/>
          <w:sz w:val="18"/>
          <w:szCs w:val="18"/>
          <w:lang w:eastAsia="pl-PL"/>
        </w:rPr>
        <w:t>culpa</w:t>
      </w:r>
      <w:proofErr w:type="spellEnd"/>
      <w:r w:rsidRPr="009F7625">
        <w:rPr>
          <w:rFonts w:ascii="Verdana" w:eastAsia="Times New Roman" w:hAnsi="Verdana" w:cs="Times New Roman"/>
          <w:color w:val="000000"/>
          <w:sz w:val="18"/>
          <w:szCs w:val="18"/>
          <w:lang w:eastAsia="pl-PL"/>
        </w:rPr>
        <w:t xml:space="preserve"> lata dolo </w:t>
      </w:r>
      <w:proofErr w:type="spellStart"/>
      <w:r w:rsidRPr="009F7625">
        <w:rPr>
          <w:rFonts w:ascii="Verdana" w:eastAsia="Times New Roman" w:hAnsi="Verdana" w:cs="Times New Roman"/>
          <w:color w:val="000000"/>
          <w:sz w:val="18"/>
          <w:szCs w:val="18"/>
          <w:lang w:eastAsia="pl-PL"/>
        </w:rPr>
        <w:t>aequiparatur</w:t>
      </w:r>
      <w:proofErr w:type="spellEnd"/>
      <w:r w:rsidRPr="009F7625">
        <w:rPr>
          <w:rFonts w:ascii="Verdana" w:eastAsia="Times New Roman" w:hAnsi="Verdana" w:cs="Times New Roman"/>
          <w:color w:val="000000"/>
          <w:sz w:val="18"/>
          <w:szCs w:val="18"/>
          <w:lang w:eastAsia="pl-PL"/>
        </w:rPr>
        <w:t>). Dokonując w trybie</w:t>
      </w:r>
      <w:r w:rsidRPr="009F7625">
        <w:rPr>
          <w:rFonts w:ascii="Verdana" w:eastAsia="Times New Roman" w:hAnsi="Verdana" w:cs="Times New Roman"/>
          <w:color w:val="000000"/>
          <w:sz w:val="18"/>
          <w:lang w:eastAsia="pl-PL"/>
        </w:rPr>
        <w:t> </w:t>
      </w:r>
      <w:hyperlink r:id="rId25" w:history="1">
        <w:r w:rsidRPr="009F7625">
          <w:rPr>
            <w:rFonts w:ascii="Verdana" w:eastAsia="Times New Roman" w:hAnsi="Verdana" w:cs="Times New Roman"/>
            <w:color w:val="CC0000"/>
            <w:sz w:val="18"/>
            <w:u w:val="single"/>
            <w:lang w:eastAsia="pl-PL"/>
          </w:rPr>
          <w:t>art. 563 § 2 i 3</w:t>
        </w:r>
      </w:hyperlink>
      <w:r w:rsidRPr="009F7625">
        <w:rPr>
          <w:rFonts w:ascii="Verdana" w:eastAsia="Times New Roman" w:hAnsi="Verdana" w:cs="Times New Roman"/>
          <w:color w:val="000000"/>
          <w:sz w:val="18"/>
          <w:lang w:eastAsia="pl-PL"/>
        </w:rPr>
        <w:t> </w:t>
      </w:r>
      <w:r w:rsidRPr="009F7625">
        <w:rPr>
          <w:rFonts w:ascii="Verdana" w:eastAsia="Times New Roman" w:hAnsi="Verdana" w:cs="Times New Roman"/>
          <w:color w:val="000000"/>
          <w:sz w:val="18"/>
          <w:szCs w:val="18"/>
          <w:lang w:eastAsia="pl-PL"/>
        </w:rPr>
        <w:t>KC przewidzianych tym przepisem aktów staranności powodowa Spółka uzyskałaby silniejszą kontraktową ochronę. Skoro jednak nie zostały spełnione.</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Oparcie zatem powództwa o</w:t>
      </w:r>
      <w:r w:rsidRPr="009F7625">
        <w:rPr>
          <w:rFonts w:ascii="Verdana" w:eastAsia="Times New Roman" w:hAnsi="Verdana" w:cs="Times New Roman"/>
          <w:color w:val="000000"/>
          <w:sz w:val="18"/>
          <w:lang w:eastAsia="pl-PL"/>
        </w:rPr>
        <w:t> </w:t>
      </w:r>
      <w:hyperlink r:id="rId26" w:history="1">
        <w:r w:rsidRPr="009F7625">
          <w:rPr>
            <w:rFonts w:ascii="Verdana" w:eastAsia="Times New Roman" w:hAnsi="Verdana" w:cs="Times New Roman"/>
            <w:color w:val="CC0000"/>
            <w:sz w:val="18"/>
            <w:u w:val="single"/>
            <w:lang w:eastAsia="pl-PL"/>
          </w:rPr>
          <w:t>art. 415</w:t>
        </w:r>
      </w:hyperlink>
      <w:r w:rsidRPr="009F7625">
        <w:rPr>
          <w:rFonts w:ascii="Verdana" w:eastAsia="Times New Roman" w:hAnsi="Verdana" w:cs="Times New Roman"/>
          <w:color w:val="000000"/>
          <w:sz w:val="18"/>
          <w:lang w:eastAsia="pl-PL"/>
        </w:rPr>
        <w:t> </w:t>
      </w:r>
      <w:r w:rsidRPr="009F7625">
        <w:rPr>
          <w:rFonts w:ascii="Verdana" w:eastAsia="Times New Roman" w:hAnsi="Verdana" w:cs="Times New Roman"/>
          <w:color w:val="000000"/>
          <w:sz w:val="18"/>
          <w:szCs w:val="18"/>
          <w:lang w:eastAsia="pl-PL"/>
        </w:rPr>
        <w:t>KC wymagało w niniejszym postępowaniu udowodnienia przesłanek wskazanego przepisu, a zatem: szkody, zawinionego i bezprawnego zachowania sprawcy szkody oraz związku przyczynowego pomiędzy takim zachowaniem, a szkodą. W ocenie Spółki (...) zdarzeniem bezprawnym wywołującym szkodę była świadoma sprzedaż przez pozwaną preparatu chemicznego, który nie posiadał zakładanych właściwości, a takie zachowanie narusza zasady uczciwego obrotu gospodarczego. Powód zatem w toku postępowania winien udowodnić, a nie uprawdopodobnić, że przedmiotowy preparat chemiczny nie posiadał zakładanych właściwości.</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 xml:space="preserve">Do akt niniejszej sprawy powódka złożyła trzy prywatne </w:t>
      </w:r>
      <w:proofErr w:type="spellStart"/>
      <w:r w:rsidRPr="009F7625">
        <w:rPr>
          <w:rFonts w:ascii="Verdana" w:eastAsia="Times New Roman" w:hAnsi="Verdana" w:cs="Times New Roman"/>
          <w:color w:val="000000"/>
          <w:sz w:val="18"/>
          <w:szCs w:val="18"/>
          <w:lang w:eastAsia="pl-PL"/>
        </w:rPr>
        <w:t>przedprocesowe</w:t>
      </w:r>
      <w:proofErr w:type="spellEnd"/>
      <w:r w:rsidRPr="009F7625">
        <w:rPr>
          <w:rFonts w:ascii="Verdana" w:eastAsia="Times New Roman" w:hAnsi="Verdana" w:cs="Times New Roman"/>
          <w:color w:val="000000"/>
          <w:sz w:val="18"/>
          <w:szCs w:val="18"/>
          <w:lang w:eastAsia="pl-PL"/>
        </w:rPr>
        <w:t xml:space="preserve"> ekspertyzy. Pierwsza została sporządzona w dniu na zlecenie kontrahenta Spółki (...) z Francji w dniu 28 sierpnia 2007 roku przez Laboratorium (...) we Francji (k. (...)), druga na zlecenie powódki w dniu 3 lipca 2007 roku przez (...) and </w:t>
      </w:r>
      <w:proofErr w:type="spellStart"/>
      <w:r w:rsidRPr="009F7625">
        <w:rPr>
          <w:rFonts w:ascii="Verdana" w:eastAsia="Times New Roman" w:hAnsi="Verdana" w:cs="Times New Roman"/>
          <w:color w:val="000000"/>
          <w:sz w:val="18"/>
          <w:szCs w:val="18"/>
          <w:lang w:eastAsia="pl-PL"/>
        </w:rPr>
        <w:t>amp</w:t>
      </w:r>
      <w:proofErr w:type="spellEnd"/>
      <w:r w:rsidRPr="009F7625">
        <w:rPr>
          <w:rFonts w:ascii="Verdana" w:eastAsia="Times New Roman" w:hAnsi="Verdana" w:cs="Times New Roman"/>
          <w:color w:val="000000"/>
          <w:sz w:val="18"/>
          <w:szCs w:val="18"/>
          <w:lang w:eastAsia="pl-PL"/>
        </w:rPr>
        <w:t>; CO.KG w Niemczech (k. (...)) i trzecia sporządzona na zlecenie pozwanej w dniu 25 sierpnia 2008 roku przez (...) Przyrodniczy w P. Instytut (...) (k. (...) - (...)).</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Sąd Apelacyjny rozpoznający niniejszą sprawę utożsamia się ze stanowiskiem orzecznictwa, iż takie prywatne ekspertyzy, o ile spełniają warunki z</w:t>
      </w:r>
      <w:r w:rsidRPr="009F7625">
        <w:rPr>
          <w:rFonts w:ascii="Verdana" w:eastAsia="Times New Roman" w:hAnsi="Verdana" w:cs="Times New Roman"/>
          <w:color w:val="000000"/>
          <w:sz w:val="18"/>
          <w:lang w:eastAsia="pl-PL"/>
        </w:rPr>
        <w:t> </w:t>
      </w:r>
      <w:hyperlink r:id="rId27" w:history="1">
        <w:r w:rsidRPr="009F7625">
          <w:rPr>
            <w:rFonts w:ascii="Verdana" w:eastAsia="Times New Roman" w:hAnsi="Verdana" w:cs="Times New Roman"/>
            <w:color w:val="CC0000"/>
            <w:sz w:val="18"/>
            <w:u w:val="single"/>
            <w:lang w:eastAsia="pl-PL"/>
          </w:rPr>
          <w:t>art. 245</w:t>
        </w:r>
      </w:hyperlink>
      <w:r w:rsidRPr="009F7625">
        <w:rPr>
          <w:rFonts w:ascii="Verdana" w:eastAsia="Times New Roman" w:hAnsi="Verdana" w:cs="Times New Roman"/>
          <w:color w:val="000000"/>
          <w:sz w:val="18"/>
          <w:lang w:eastAsia="pl-PL"/>
        </w:rPr>
        <w:t> </w:t>
      </w:r>
      <w:r w:rsidRPr="009F7625">
        <w:rPr>
          <w:rFonts w:ascii="Verdana" w:eastAsia="Times New Roman" w:hAnsi="Verdana" w:cs="Times New Roman"/>
          <w:color w:val="000000"/>
          <w:sz w:val="18"/>
          <w:szCs w:val="18"/>
          <w:lang w:eastAsia="pl-PL"/>
        </w:rPr>
        <w:t xml:space="preserve">KPC a strona składa ją z intencją uznania jej przez sąd za dowód w sprawie, można traktować jedynie jako dokument prywatny. W takim jednak wypadku dokument taki stanowi jedynie dowód tego, że osoba, która ten dokument podpisała wyraziła zawarty w nim pogląd, nie korzysta natomiast z domniemania zgodności z prawdą zawartych w niej twierdzeń (vide: teza z uzasadnienia wyroku Sądu Najwyższego z dnia 15 </w:t>
      </w:r>
      <w:r w:rsidRPr="009F7625">
        <w:rPr>
          <w:rFonts w:ascii="Verdana" w:eastAsia="Times New Roman" w:hAnsi="Verdana" w:cs="Times New Roman"/>
          <w:color w:val="000000"/>
          <w:sz w:val="18"/>
          <w:szCs w:val="18"/>
          <w:lang w:eastAsia="pl-PL"/>
        </w:rPr>
        <w:lastRenderedPageBreak/>
        <w:t>stycznia 2010 r.</w:t>
      </w:r>
      <w:r w:rsidRPr="009F7625">
        <w:rPr>
          <w:rFonts w:ascii="Verdana" w:eastAsia="Times New Roman" w:hAnsi="Verdana" w:cs="Times New Roman"/>
          <w:color w:val="000000"/>
          <w:sz w:val="18"/>
          <w:lang w:eastAsia="pl-PL"/>
        </w:rPr>
        <w:t> </w:t>
      </w:r>
      <w:bookmarkStart w:id="3" w:name="orz.180316796"/>
      <w:r w:rsidRPr="009F7625">
        <w:rPr>
          <w:rFonts w:ascii="Verdana" w:eastAsia="Times New Roman" w:hAnsi="Verdana" w:cs="Times New Roman"/>
          <w:color w:val="000000"/>
          <w:sz w:val="18"/>
          <w:szCs w:val="18"/>
          <w:lang w:eastAsia="pl-PL"/>
        </w:rPr>
        <w:fldChar w:fldCharType="begin"/>
      </w:r>
      <w:r w:rsidRPr="009F7625">
        <w:rPr>
          <w:rFonts w:ascii="Verdana" w:eastAsia="Times New Roman" w:hAnsi="Verdana" w:cs="Times New Roman"/>
          <w:color w:val="000000"/>
          <w:sz w:val="18"/>
          <w:szCs w:val="18"/>
          <w:lang w:eastAsia="pl-PL"/>
        </w:rPr>
        <w:instrText xml:space="preserve"> HYPERLINK "https://sip.legalis.pl/document-view.seam?documentId=mrswglrrhaydgmjwg44tm" </w:instrText>
      </w:r>
      <w:r w:rsidRPr="009F7625">
        <w:rPr>
          <w:rFonts w:ascii="Verdana" w:eastAsia="Times New Roman" w:hAnsi="Verdana" w:cs="Times New Roman"/>
          <w:color w:val="000000"/>
          <w:sz w:val="18"/>
          <w:szCs w:val="18"/>
          <w:lang w:eastAsia="pl-PL"/>
        </w:rPr>
        <w:fldChar w:fldCharType="separate"/>
      </w:r>
      <w:r w:rsidRPr="009F7625">
        <w:rPr>
          <w:rFonts w:ascii="Verdana" w:eastAsia="Times New Roman" w:hAnsi="Verdana" w:cs="Times New Roman"/>
          <w:color w:val="CC0000"/>
          <w:sz w:val="18"/>
          <w:u w:val="single"/>
          <w:lang w:eastAsia="pl-PL"/>
        </w:rPr>
        <w:t>I CSK 199/09</w:t>
      </w:r>
      <w:r w:rsidRPr="009F7625">
        <w:rPr>
          <w:rFonts w:ascii="Verdana" w:eastAsia="Times New Roman" w:hAnsi="Verdana" w:cs="Times New Roman"/>
          <w:color w:val="000000"/>
          <w:sz w:val="18"/>
          <w:szCs w:val="18"/>
          <w:lang w:eastAsia="pl-PL"/>
        </w:rPr>
        <w:fldChar w:fldCharType="end"/>
      </w:r>
      <w:bookmarkEnd w:id="3"/>
      <w:r w:rsidRPr="009F7625">
        <w:rPr>
          <w:rFonts w:ascii="Verdana" w:eastAsia="Times New Roman" w:hAnsi="Verdana" w:cs="Times New Roman"/>
          <w:color w:val="000000"/>
          <w:sz w:val="18"/>
          <w:szCs w:val="18"/>
          <w:lang w:eastAsia="pl-PL"/>
        </w:rPr>
        <w:t>, teza z uzasadnienia wyroku Sądu Najwyższego z dnia 17 listopada 2010 r.</w:t>
      </w:r>
      <w:r w:rsidRPr="009F7625">
        <w:rPr>
          <w:rFonts w:ascii="Verdana" w:eastAsia="Times New Roman" w:hAnsi="Verdana" w:cs="Times New Roman"/>
          <w:color w:val="000000"/>
          <w:sz w:val="18"/>
          <w:lang w:eastAsia="pl-PL"/>
        </w:rPr>
        <w:t> </w:t>
      </w:r>
      <w:bookmarkStart w:id="4" w:name="orz.220383410"/>
      <w:r w:rsidRPr="009F7625">
        <w:rPr>
          <w:rFonts w:ascii="Verdana" w:eastAsia="Times New Roman" w:hAnsi="Verdana" w:cs="Times New Roman"/>
          <w:color w:val="000000"/>
          <w:sz w:val="18"/>
          <w:szCs w:val="18"/>
          <w:lang w:eastAsia="pl-PL"/>
        </w:rPr>
        <w:fldChar w:fldCharType="begin"/>
      </w:r>
      <w:r w:rsidRPr="009F7625">
        <w:rPr>
          <w:rFonts w:ascii="Verdana" w:eastAsia="Times New Roman" w:hAnsi="Verdana" w:cs="Times New Roman"/>
          <w:color w:val="000000"/>
          <w:sz w:val="18"/>
          <w:szCs w:val="18"/>
          <w:lang w:eastAsia="pl-PL"/>
        </w:rPr>
        <w:instrText xml:space="preserve"> HYPERLINK "https://sip.legalis.pl/document-view.seam?documentId=mrswglrsgiydgobtgqyta" </w:instrText>
      </w:r>
      <w:r w:rsidRPr="009F7625">
        <w:rPr>
          <w:rFonts w:ascii="Verdana" w:eastAsia="Times New Roman" w:hAnsi="Verdana" w:cs="Times New Roman"/>
          <w:color w:val="000000"/>
          <w:sz w:val="18"/>
          <w:szCs w:val="18"/>
          <w:lang w:eastAsia="pl-PL"/>
        </w:rPr>
        <w:fldChar w:fldCharType="separate"/>
      </w:r>
      <w:r w:rsidRPr="009F7625">
        <w:rPr>
          <w:rFonts w:ascii="Verdana" w:eastAsia="Times New Roman" w:hAnsi="Verdana" w:cs="Times New Roman"/>
          <w:color w:val="CC0000"/>
          <w:sz w:val="18"/>
          <w:u w:val="single"/>
          <w:lang w:eastAsia="pl-PL"/>
        </w:rPr>
        <w:t>I CSK 57/10</w:t>
      </w:r>
      <w:r w:rsidRPr="009F7625">
        <w:rPr>
          <w:rFonts w:ascii="Verdana" w:eastAsia="Times New Roman" w:hAnsi="Verdana" w:cs="Times New Roman"/>
          <w:color w:val="000000"/>
          <w:sz w:val="18"/>
          <w:szCs w:val="18"/>
          <w:lang w:eastAsia="pl-PL"/>
        </w:rPr>
        <w:fldChar w:fldCharType="end"/>
      </w:r>
      <w:bookmarkEnd w:id="4"/>
      <w:r w:rsidRPr="009F7625">
        <w:rPr>
          <w:rFonts w:ascii="Verdana" w:eastAsia="Times New Roman" w:hAnsi="Verdana" w:cs="Times New Roman"/>
          <w:color w:val="000000"/>
          <w:sz w:val="18"/>
          <w:szCs w:val="18"/>
          <w:lang w:eastAsia="pl-PL"/>
        </w:rPr>
        <w:t>).</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Wobec jednak faktu, iż apelacja w znacznej części wywodzi, iż to właśnie owe prywatne ekspertyzy zawierają potwierdzenie wywodów powoda należało wykazać, iż w ogóle nie powinny mieć one żadnego znaczenia procesowego i są niewiarygodne.</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Ekspertyza Laboratorium (...) we Francji, co wynika wprost z jej treści nie dotyczy badania samego impregnatu, lecz próbek drewna poddanych obróbce ochronnej. To przedsiębiorstwo (...) produkujące baseny naziemne z drewna (odbiorca towarów powoda) wnioskowało o skontrolowanie rodzaju obróbki przeprowadzonej na dostawie drewna obrobionego przez dostawcę (powoda). Przyjęcie, iż obróbki drewna dokonano impregnatem (...), a także innych okoliczności niezbędnych do badań nastąpiło jedynie na podstawie oświadczeń zlecającego badanie bez wskazania nawet serii produkcji zastosowanego impregnatu, daty ważności i innych danych niezbędnych do zindywidualizowania zastosowanego środka. Wydający ekspertyzę nie dysponował także żadnymi danymi dotyczącymi samego procesu impregnacji, który wykonywał powód. W konkluzji tej opinii stwierdzono, iż: "W Żadnym próbki te nie mogą być traktowane jako reprezentatywne dla całej dostawy. Gdyby celem było osiągnięcie tej reprezentatywności, należałoby przestrzegać precyzyjniejszego odniesienia normatywnego i przeprowadzić tym samym dużo większą ilość prób". (strona 10 tłumaczenia ekspertyzy) Logicznie zatem rozumując przedmiotowa ekspertyza nie pozwala na zindywidualizowanie zastosowanego do impregnacji środka, skoro jego określenie odbywa się jedynie na podstawie oświadczenia powoda, a także w ogóle nie odnosi się do prawidłowości samego procesu impregnacji, która była wykonywana przez Spółkę (...) "Typ obróbki: ochronny (według słów klienta)" (strona tłumaczenia 24 ekspertyzy).</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Kolejna ekspertyza firmy (...).KG w istocie została zlecona przez powoda byłemu dostawcy impregnatu do powodowej Spółki (...), reprezentującemu firmę (...).KG a tym samym podmiot konkurencyjny na rynku impregnatów. Okoliczność tę przyznał wprost Prezes zarządu pozwanej podczas rozprawy w dniu 16 stycznia 2013 roku (e - protokół rozprawy z dnia 16 stycznia 2013 roku od 0:12: do 0:12:30). Już sama ta okoliczność dyskwalifikuje przedmiotową ekspertyzę niemniej jednak i w tej ekspertyzie zawarto stwierdzenie "Radzimy zlecić badanie produktu przez uznany niezależny instytut" (k. (...)).</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 xml:space="preserve">Kolejna prywatna ekspertyza została sporządzona na zlecenie powoda w dniu (...) Przyrodniczy w P. Instytut (...) sierpniu 2008 roku, a zatem po upływie blisko 20 miesięcy od sprzedaży impregnatu i dwunastu miesięcy otworzenia kontenera (według stanowiska powoda nastąpiło to podczas pobierania próbki przez A. B. w lipcu 2007 roku). Przedmiotowa ekspertyza także nie określa partii towaru, którego dotyczy analiza, daty jego ważności, nie zawiera także dokumentacji fotograficznej (filmowej) obrazującej pobranie próbki, stan kontenera, jego oznaczenia. Pamiętać należy, iż przesłuchany w charakterze strony prezes zarządu powoda </w:t>
      </w:r>
      <w:proofErr w:type="spellStart"/>
      <w:r w:rsidRPr="009F7625">
        <w:rPr>
          <w:rFonts w:ascii="Verdana" w:eastAsia="Times New Roman" w:hAnsi="Verdana" w:cs="Times New Roman"/>
          <w:color w:val="000000"/>
          <w:sz w:val="18"/>
          <w:szCs w:val="18"/>
          <w:lang w:eastAsia="pl-PL"/>
        </w:rPr>
        <w:t>oświdczył</w:t>
      </w:r>
      <w:proofErr w:type="spellEnd"/>
      <w:r w:rsidRPr="009F7625">
        <w:rPr>
          <w:rFonts w:ascii="Verdana" w:eastAsia="Times New Roman" w:hAnsi="Verdana" w:cs="Times New Roman"/>
          <w:color w:val="000000"/>
          <w:sz w:val="18"/>
          <w:szCs w:val="18"/>
          <w:lang w:eastAsia="pl-PL"/>
        </w:rPr>
        <w:t xml:space="preserve">, iż zerwał z kontenera etykietę podczas pobierania próby przez pana A. B. (e - protokół rozprawy z dnia 16 stycznia 2013 roku od 0:12:50 do 0:13:24). Dziwić musi zatem fakt, </w:t>
      </w:r>
      <w:proofErr w:type="spellStart"/>
      <w:r w:rsidRPr="009F7625">
        <w:rPr>
          <w:rFonts w:ascii="Verdana" w:eastAsia="Times New Roman" w:hAnsi="Verdana" w:cs="Times New Roman"/>
          <w:color w:val="000000"/>
          <w:sz w:val="18"/>
          <w:szCs w:val="18"/>
          <w:lang w:eastAsia="pl-PL"/>
        </w:rPr>
        <w:t>iz</w:t>
      </w:r>
      <w:proofErr w:type="spellEnd"/>
      <w:r w:rsidRPr="009F7625">
        <w:rPr>
          <w:rFonts w:ascii="Verdana" w:eastAsia="Times New Roman" w:hAnsi="Verdana" w:cs="Times New Roman"/>
          <w:color w:val="000000"/>
          <w:sz w:val="18"/>
          <w:szCs w:val="18"/>
          <w:lang w:eastAsia="pl-PL"/>
        </w:rPr>
        <w:t xml:space="preserve"> w omawianej ekspertyzie wskazano, iż na kontenerze znajdowała się naklejka wskazująca na dane badanego środka ochronnego. Wyniki ekspertyzy (...) Przyrodniczego w szczególności podważa opinia biegłego sądowego powołanego w niniejszej sprawie, który stwierdza jednoznacznie, iż po otwarciu opakowania zmienić swe właściwości i mogą w nim zachodzić określone reakcje chemiczne (k. (...)). Tym samym zakładając nawet prawidłowość pobrania próby, przedmiotem badania nie była substancja o takich właściwościach jakie posiada w hermetycznym opakowaniu. Przedmiotowa ekspertyza nie może być zatem uznana za wiarygodną.</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 xml:space="preserve">Skoro zatem powód w toku postępowania korzystał z wyżej wskazanych </w:t>
      </w:r>
      <w:proofErr w:type="spellStart"/>
      <w:r w:rsidRPr="009F7625">
        <w:rPr>
          <w:rFonts w:ascii="Verdana" w:eastAsia="Times New Roman" w:hAnsi="Verdana" w:cs="Times New Roman"/>
          <w:color w:val="000000"/>
          <w:sz w:val="18"/>
          <w:szCs w:val="18"/>
          <w:lang w:eastAsia="pl-PL"/>
        </w:rPr>
        <w:t>przedprocesowych</w:t>
      </w:r>
      <w:proofErr w:type="spellEnd"/>
      <w:r w:rsidRPr="009F7625">
        <w:rPr>
          <w:rFonts w:ascii="Verdana" w:eastAsia="Times New Roman" w:hAnsi="Verdana" w:cs="Times New Roman"/>
          <w:color w:val="000000"/>
          <w:sz w:val="18"/>
          <w:szCs w:val="18"/>
          <w:lang w:eastAsia="pl-PL"/>
        </w:rPr>
        <w:t xml:space="preserve"> ekspertyz, a jednocześnie ich wnioskom przeczyła strona pozwana (podnosząc, że dostarczyła właściwy impregnat) to - zgodnie z art. 253 </w:t>
      </w:r>
      <w:proofErr w:type="spellStart"/>
      <w:r w:rsidRPr="009F7625">
        <w:rPr>
          <w:rFonts w:ascii="Verdana" w:eastAsia="Times New Roman" w:hAnsi="Verdana" w:cs="Times New Roman"/>
          <w:color w:val="000000"/>
          <w:sz w:val="18"/>
          <w:szCs w:val="18"/>
          <w:lang w:eastAsia="pl-PL"/>
        </w:rPr>
        <w:t>zd</w:t>
      </w:r>
      <w:proofErr w:type="spellEnd"/>
      <w:r w:rsidRPr="009F7625">
        <w:rPr>
          <w:rFonts w:ascii="Verdana" w:eastAsia="Times New Roman" w:hAnsi="Verdana" w:cs="Times New Roman"/>
          <w:color w:val="000000"/>
          <w:sz w:val="18"/>
          <w:szCs w:val="18"/>
          <w:lang w:eastAsia="pl-PL"/>
        </w:rPr>
        <w:t xml:space="preserve">. II KPC - to Spółka (...) winna dowodzić prawdziwości jej tez. Z tego względu brak było podstaw do oparcia ustaleń faktycznych na opisanych </w:t>
      </w:r>
      <w:proofErr w:type="spellStart"/>
      <w:r w:rsidRPr="009F7625">
        <w:rPr>
          <w:rFonts w:ascii="Verdana" w:eastAsia="Times New Roman" w:hAnsi="Verdana" w:cs="Times New Roman"/>
          <w:color w:val="000000"/>
          <w:sz w:val="18"/>
          <w:szCs w:val="18"/>
          <w:lang w:eastAsia="pl-PL"/>
        </w:rPr>
        <w:t>przedprocesowych</w:t>
      </w:r>
      <w:proofErr w:type="spellEnd"/>
      <w:r w:rsidRPr="009F7625">
        <w:rPr>
          <w:rFonts w:ascii="Verdana" w:eastAsia="Times New Roman" w:hAnsi="Verdana" w:cs="Times New Roman"/>
          <w:color w:val="000000"/>
          <w:sz w:val="18"/>
          <w:szCs w:val="18"/>
          <w:lang w:eastAsia="pl-PL"/>
        </w:rPr>
        <w:t xml:space="preserve"> ekspertyzach. Okoliczność ta wymagała zatem wiadomości specjalnych w rozumieniu</w:t>
      </w:r>
      <w:r w:rsidRPr="009F7625">
        <w:rPr>
          <w:rFonts w:ascii="Verdana" w:eastAsia="Times New Roman" w:hAnsi="Verdana" w:cs="Times New Roman"/>
          <w:color w:val="000000"/>
          <w:sz w:val="18"/>
          <w:lang w:eastAsia="pl-PL"/>
        </w:rPr>
        <w:t> </w:t>
      </w:r>
      <w:hyperlink r:id="rId28" w:history="1">
        <w:r w:rsidRPr="009F7625">
          <w:rPr>
            <w:rFonts w:ascii="Verdana" w:eastAsia="Times New Roman" w:hAnsi="Verdana" w:cs="Times New Roman"/>
            <w:color w:val="CC0000"/>
            <w:sz w:val="18"/>
            <w:u w:val="single"/>
            <w:lang w:eastAsia="pl-PL"/>
          </w:rPr>
          <w:t>art. 278 § 1</w:t>
        </w:r>
      </w:hyperlink>
      <w:r w:rsidRPr="009F7625">
        <w:rPr>
          <w:rFonts w:ascii="Verdana" w:eastAsia="Times New Roman" w:hAnsi="Verdana" w:cs="Times New Roman"/>
          <w:color w:val="000000"/>
          <w:sz w:val="18"/>
          <w:lang w:eastAsia="pl-PL"/>
        </w:rPr>
        <w:t> </w:t>
      </w:r>
      <w:r w:rsidRPr="009F7625">
        <w:rPr>
          <w:rFonts w:ascii="Verdana" w:eastAsia="Times New Roman" w:hAnsi="Verdana" w:cs="Times New Roman"/>
          <w:color w:val="000000"/>
          <w:sz w:val="18"/>
          <w:szCs w:val="18"/>
          <w:lang w:eastAsia="pl-PL"/>
        </w:rPr>
        <w:t>KPC. W tym zakresie zaś sąd przeprowadził wiarygodny dowody z opinii biegłego sądowego, z której wynika, że powód nie wykazał, że impregnat (...) na bytu od pozwanej nie miał właściwości deklarowanych przez sprzedającego.</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Jednym z przejawów specyfiki dowodu z opinii biegłego jest, że tenże środek dowodowy, z uwagi na składnik w postaci wiadomości specjalnych, nie może być zastąpiony inną czynnością dowodową (vide: teza z uzasadnienia wyroku Sądu Najwyższego z dnia 24 listopada 1999 r.</w:t>
      </w:r>
      <w:r w:rsidRPr="009F7625">
        <w:rPr>
          <w:rFonts w:ascii="Verdana" w:eastAsia="Times New Roman" w:hAnsi="Verdana" w:cs="Times New Roman"/>
          <w:color w:val="000000"/>
          <w:sz w:val="18"/>
          <w:lang w:eastAsia="pl-PL"/>
        </w:rPr>
        <w:t> </w:t>
      </w:r>
      <w:bookmarkStart w:id="5" w:name="orz.39474"/>
      <w:r w:rsidRPr="009F7625">
        <w:rPr>
          <w:rFonts w:ascii="Verdana" w:eastAsia="Times New Roman" w:hAnsi="Verdana" w:cs="Times New Roman"/>
          <w:color w:val="000000"/>
          <w:sz w:val="18"/>
          <w:szCs w:val="18"/>
          <w:lang w:eastAsia="pl-PL"/>
        </w:rPr>
        <w:fldChar w:fldCharType="begin"/>
      </w:r>
      <w:r w:rsidRPr="009F7625">
        <w:rPr>
          <w:rFonts w:ascii="Verdana" w:eastAsia="Times New Roman" w:hAnsi="Verdana" w:cs="Times New Roman"/>
          <w:color w:val="000000"/>
          <w:sz w:val="18"/>
          <w:szCs w:val="18"/>
          <w:lang w:eastAsia="pl-PL"/>
        </w:rPr>
        <w:instrText xml:space="preserve"> HYPERLINK "https://sip.legalis.pl/document-view.seam?documentId=mrswglrthe2dona" </w:instrText>
      </w:r>
      <w:r w:rsidRPr="009F7625">
        <w:rPr>
          <w:rFonts w:ascii="Verdana" w:eastAsia="Times New Roman" w:hAnsi="Verdana" w:cs="Times New Roman"/>
          <w:color w:val="000000"/>
          <w:sz w:val="18"/>
          <w:szCs w:val="18"/>
          <w:lang w:eastAsia="pl-PL"/>
        </w:rPr>
        <w:fldChar w:fldCharType="separate"/>
      </w:r>
      <w:r w:rsidRPr="009F7625">
        <w:rPr>
          <w:rFonts w:ascii="Verdana" w:eastAsia="Times New Roman" w:hAnsi="Verdana" w:cs="Times New Roman"/>
          <w:color w:val="CC0000"/>
          <w:sz w:val="18"/>
          <w:u w:val="single"/>
          <w:lang w:eastAsia="pl-PL"/>
        </w:rPr>
        <w:t>I CKN 223/98</w:t>
      </w:r>
      <w:r w:rsidRPr="009F7625">
        <w:rPr>
          <w:rFonts w:ascii="Verdana" w:eastAsia="Times New Roman" w:hAnsi="Verdana" w:cs="Times New Roman"/>
          <w:color w:val="000000"/>
          <w:sz w:val="18"/>
          <w:szCs w:val="18"/>
          <w:lang w:eastAsia="pl-PL"/>
        </w:rPr>
        <w:fldChar w:fldCharType="end"/>
      </w:r>
      <w:bookmarkEnd w:id="5"/>
      <w:r w:rsidRPr="009F7625">
        <w:rPr>
          <w:rFonts w:ascii="Verdana" w:eastAsia="Times New Roman" w:hAnsi="Verdana" w:cs="Times New Roman"/>
          <w:color w:val="000000"/>
          <w:sz w:val="18"/>
          <w:szCs w:val="18"/>
          <w:lang w:eastAsia="pl-PL"/>
        </w:rPr>
        <w:t>, teza z uzasadnienia wyroku Sądu Najwyższego z dnia 29 listopada 2006 r.</w:t>
      </w:r>
      <w:r w:rsidRPr="009F7625">
        <w:rPr>
          <w:rFonts w:ascii="Verdana" w:eastAsia="Times New Roman" w:hAnsi="Verdana" w:cs="Times New Roman"/>
          <w:color w:val="000000"/>
          <w:sz w:val="18"/>
          <w:lang w:eastAsia="pl-PL"/>
        </w:rPr>
        <w:t> </w:t>
      </w:r>
      <w:bookmarkStart w:id="6" w:name="orz.105182538"/>
      <w:r w:rsidRPr="009F7625">
        <w:rPr>
          <w:rFonts w:ascii="Verdana" w:eastAsia="Times New Roman" w:hAnsi="Verdana" w:cs="Times New Roman"/>
          <w:color w:val="000000"/>
          <w:sz w:val="18"/>
          <w:szCs w:val="18"/>
          <w:lang w:eastAsia="pl-PL"/>
        </w:rPr>
        <w:fldChar w:fldCharType="begin"/>
      </w:r>
      <w:r w:rsidRPr="009F7625">
        <w:rPr>
          <w:rFonts w:ascii="Verdana" w:eastAsia="Times New Roman" w:hAnsi="Verdana" w:cs="Times New Roman"/>
          <w:color w:val="000000"/>
          <w:sz w:val="18"/>
          <w:szCs w:val="18"/>
          <w:lang w:eastAsia="pl-PL"/>
        </w:rPr>
        <w:instrText xml:space="preserve"> HYPERLINK "https://sip.legalis.pl/document-view.seam?documentId=mrswglrrga2tcobsguztq" </w:instrText>
      </w:r>
      <w:r w:rsidRPr="009F7625">
        <w:rPr>
          <w:rFonts w:ascii="Verdana" w:eastAsia="Times New Roman" w:hAnsi="Verdana" w:cs="Times New Roman"/>
          <w:color w:val="000000"/>
          <w:sz w:val="18"/>
          <w:szCs w:val="18"/>
          <w:lang w:eastAsia="pl-PL"/>
        </w:rPr>
        <w:fldChar w:fldCharType="separate"/>
      </w:r>
      <w:r w:rsidRPr="009F7625">
        <w:rPr>
          <w:rFonts w:ascii="Verdana" w:eastAsia="Times New Roman" w:hAnsi="Verdana" w:cs="Times New Roman"/>
          <w:color w:val="CC0000"/>
          <w:sz w:val="18"/>
          <w:u w:val="single"/>
          <w:lang w:eastAsia="pl-PL"/>
        </w:rPr>
        <w:t>II CSK 245/06</w:t>
      </w:r>
      <w:r w:rsidRPr="009F7625">
        <w:rPr>
          <w:rFonts w:ascii="Verdana" w:eastAsia="Times New Roman" w:hAnsi="Verdana" w:cs="Times New Roman"/>
          <w:color w:val="000000"/>
          <w:sz w:val="18"/>
          <w:szCs w:val="18"/>
          <w:lang w:eastAsia="pl-PL"/>
        </w:rPr>
        <w:fldChar w:fldCharType="end"/>
      </w:r>
      <w:bookmarkEnd w:id="6"/>
      <w:r w:rsidRPr="009F7625">
        <w:rPr>
          <w:rFonts w:ascii="Verdana" w:eastAsia="Times New Roman" w:hAnsi="Verdana" w:cs="Times New Roman"/>
          <w:color w:val="000000"/>
          <w:sz w:val="18"/>
          <w:szCs w:val="18"/>
          <w:lang w:eastAsia="pl-PL"/>
        </w:rPr>
        <w:t xml:space="preserve">). Z tego względu prywatne ekspertyzy opracowane na zlecenie stron, czy to w toku procesu czy jeszcze </w:t>
      </w:r>
      <w:r w:rsidRPr="009F7625">
        <w:rPr>
          <w:rFonts w:ascii="Verdana" w:eastAsia="Times New Roman" w:hAnsi="Verdana" w:cs="Times New Roman"/>
          <w:color w:val="000000"/>
          <w:sz w:val="18"/>
          <w:szCs w:val="18"/>
          <w:lang w:eastAsia="pl-PL"/>
        </w:rPr>
        <w:lastRenderedPageBreak/>
        <w:t>przed jego wszczęciem, nie są - niezależnie od kwalifikacji osób opracowujących opinię - opinią biegłego.</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Opinia biegłego jak każdy inny dowód, podlega ocenie według</w:t>
      </w:r>
      <w:r w:rsidRPr="009F7625">
        <w:rPr>
          <w:rFonts w:ascii="Verdana" w:eastAsia="Times New Roman" w:hAnsi="Verdana" w:cs="Times New Roman"/>
          <w:color w:val="000000"/>
          <w:sz w:val="18"/>
          <w:lang w:eastAsia="pl-PL"/>
        </w:rPr>
        <w:t> </w:t>
      </w:r>
      <w:hyperlink r:id="rId29" w:history="1">
        <w:r w:rsidRPr="009F7625">
          <w:rPr>
            <w:rFonts w:ascii="Verdana" w:eastAsia="Times New Roman" w:hAnsi="Verdana" w:cs="Times New Roman"/>
            <w:color w:val="CC0000"/>
            <w:sz w:val="18"/>
            <w:u w:val="single"/>
            <w:lang w:eastAsia="pl-PL"/>
          </w:rPr>
          <w:t>art. 233 § 1</w:t>
        </w:r>
      </w:hyperlink>
      <w:r w:rsidRPr="009F7625">
        <w:rPr>
          <w:rFonts w:ascii="Verdana" w:eastAsia="Times New Roman" w:hAnsi="Verdana" w:cs="Times New Roman"/>
          <w:color w:val="000000"/>
          <w:sz w:val="18"/>
          <w:lang w:eastAsia="pl-PL"/>
        </w:rPr>
        <w:t> </w:t>
      </w:r>
      <w:r w:rsidRPr="009F7625">
        <w:rPr>
          <w:rFonts w:ascii="Verdana" w:eastAsia="Times New Roman" w:hAnsi="Verdana" w:cs="Times New Roman"/>
          <w:color w:val="000000"/>
          <w:sz w:val="18"/>
          <w:szCs w:val="18"/>
          <w:lang w:eastAsia="pl-PL"/>
        </w:rPr>
        <w:t>KPC, to jednakże sfera merytoryczna opinii kontrolowana jest przez sąd, który nie posiada wiadomości specjalnych. W konsekwencji odwołanie się przez sąd dokonujący oceny dowodu z opinii biegłego, do takich kryteriów jak: zgodności opinii z zasadami logicznego myślenia, doświadczenia życiowego i wiedzy powszechnej, podstaw teoretycznych opinii, sposobu motywowania sformułowanego w niej stanowiska oraz stopnia stanowczości wyrażonych w niej ocen, a także poziomu wiedzy biegłego, stanowi wystarczające i należyte odniesienie się do wiarygodności dowodu z opinii biegłego sądowego (vide: teza z uzasadnienia wyroku Sądu Najwyższego z dnia 7 kwietnia 2005 r.</w:t>
      </w:r>
      <w:r w:rsidRPr="009F7625">
        <w:rPr>
          <w:rFonts w:ascii="Verdana" w:eastAsia="Times New Roman" w:hAnsi="Verdana" w:cs="Times New Roman"/>
          <w:color w:val="000000"/>
          <w:sz w:val="18"/>
          <w:lang w:eastAsia="pl-PL"/>
        </w:rPr>
        <w:t> </w:t>
      </w:r>
      <w:bookmarkStart w:id="7" w:name="orz.140257105"/>
      <w:r w:rsidRPr="009F7625">
        <w:rPr>
          <w:rFonts w:ascii="Verdana" w:eastAsia="Times New Roman" w:hAnsi="Verdana" w:cs="Times New Roman"/>
          <w:color w:val="000000"/>
          <w:sz w:val="18"/>
          <w:szCs w:val="18"/>
          <w:lang w:eastAsia="pl-PL"/>
        </w:rPr>
        <w:fldChar w:fldCharType="begin"/>
      </w:r>
      <w:r w:rsidRPr="009F7625">
        <w:rPr>
          <w:rFonts w:ascii="Verdana" w:eastAsia="Times New Roman" w:hAnsi="Verdana" w:cs="Times New Roman"/>
          <w:color w:val="000000"/>
          <w:sz w:val="18"/>
          <w:szCs w:val="18"/>
          <w:lang w:eastAsia="pl-PL"/>
        </w:rPr>
        <w:instrText xml:space="preserve"> HYPERLINK "https://sip.legalis.pl/document-view.seam?documentId=mrswglrrgqydenjxgeydk" </w:instrText>
      </w:r>
      <w:r w:rsidRPr="009F7625">
        <w:rPr>
          <w:rFonts w:ascii="Verdana" w:eastAsia="Times New Roman" w:hAnsi="Verdana" w:cs="Times New Roman"/>
          <w:color w:val="000000"/>
          <w:sz w:val="18"/>
          <w:szCs w:val="18"/>
          <w:lang w:eastAsia="pl-PL"/>
        </w:rPr>
        <w:fldChar w:fldCharType="separate"/>
      </w:r>
      <w:r w:rsidRPr="009F7625">
        <w:rPr>
          <w:rFonts w:ascii="Verdana" w:eastAsia="Times New Roman" w:hAnsi="Verdana" w:cs="Times New Roman"/>
          <w:color w:val="CC0000"/>
          <w:sz w:val="18"/>
          <w:u w:val="single"/>
          <w:lang w:eastAsia="pl-PL"/>
        </w:rPr>
        <w:t>II CK 572/04</w:t>
      </w:r>
      <w:r w:rsidRPr="009F7625">
        <w:rPr>
          <w:rFonts w:ascii="Verdana" w:eastAsia="Times New Roman" w:hAnsi="Verdana" w:cs="Times New Roman"/>
          <w:color w:val="000000"/>
          <w:sz w:val="18"/>
          <w:szCs w:val="18"/>
          <w:lang w:eastAsia="pl-PL"/>
        </w:rPr>
        <w:fldChar w:fldCharType="end"/>
      </w:r>
      <w:bookmarkEnd w:id="7"/>
      <w:r w:rsidRPr="009F7625">
        <w:rPr>
          <w:rFonts w:ascii="Verdana" w:eastAsia="Times New Roman" w:hAnsi="Verdana" w:cs="Times New Roman"/>
          <w:color w:val="000000"/>
          <w:sz w:val="18"/>
          <w:szCs w:val="18"/>
          <w:lang w:eastAsia="pl-PL"/>
        </w:rPr>
        <w:t>, teza z uzasadnienia wyroku Sądu Najwyższego z dnia 15 listopada 2002 r.</w:t>
      </w:r>
      <w:r w:rsidRPr="009F7625">
        <w:rPr>
          <w:rFonts w:ascii="Verdana" w:eastAsia="Times New Roman" w:hAnsi="Verdana" w:cs="Times New Roman"/>
          <w:color w:val="000000"/>
          <w:sz w:val="18"/>
          <w:lang w:eastAsia="pl-PL"/>
        </w:rPr>
        <w:t> </w:t>
      </w:r>
      <w:bookmarkStart w:id="8" w:name="orz.40056823"/>
      <w:r w:rsidRPr="009F7625">
        <w:rPr>
          <w:rFonts w:ascii="Verdana" w:eastAsia="Times New Roman" w:hAnsi="Verdana" w:cs="Times New Roman"/>
          <w:color w:val="000000"/>
          <w:sz w:val="18"/>
          <w:szCs w:val="18"/>
          <w:lang w:eastAsia="pl-PL"/>
        </w:rPr>
        <w:fldChar w:fldCharType="begin"/>
      </w:r>
      <w:r w:rsidRPr="009F7625">
        <w:rPr>
          <w:rFonts w:ascii="Verdana" w:eastAsia="Times New Roman" w:hAnsi="Verdana" w:cs="Times New Roman"/>
          <w:color w:val="000000"/>
          <w:sz w:val="18"/>
          <w:szCs w:val="18"/>
          <w:lang w:eastAsia="pl-PL"/>
        </w:rPr>
        <w:instrText xml:space="preserve"> HYPERLINK "https://sip.legalis.pl/document-view.seam?documentId=mrswglrugaydknrygizq" </w:instrText>
      </w:r>
      <w:r w:rsidRPr="009F7625">
        <w:rPr>
          <w:rFonts w:ascii="Verdana" w:eastAsia="Times New Roman" w:hAnsi="Verdana" w:cs="Times New Roman"/>
          <w:color w:val="000000"/>
          <w:sz w:val="18"/>
          <w:szCs w:val="18"/>
          <w:lang w:eastAsia="pl-PL"/>
        </w:rPr>
        <w:fldChar w:fldCharType="separate"/>
      </w:r>
      <w:r w:rsidRPr="009F7625">
        <w:rPr>
          <w:rFonts w:ascii="Verdana" w:eastAsia="Times New Roman" w:hAnsi="Verdana" w:cs="Times New Roman"/>
          <w:color w:val="CC0000"/>
          <w:sz w:val="18"/>
          <w:u w:val="single"/>
          <w:lang w:eastAsia="pl-PL"/>
        </w:rPr>
        <w:t>V CKN 1354/00</w:t>
      </w:r>
      <w:r w:rsidRPr="009F7625">
        <w:rPr>
          <w:rFonts w:ascii="Verdana" w:eastAsia="Times New Roman" w:hAnsi="Verdana" w:cs="Times New Roman"/>
          <w:color w:val="000000"/>
          <w:sz w:val="18"/>
          <w:szCs w:val="18"/>
          <w:lang w:eastAsia="pl-PL"/>
        </w:rPr>
        <w:fldChar w:fldCharType="end"/>
      </w:r>
      <w:bookmarkEnd w:id="8"/>
      <w:r w:rsidRPr="009F7625">
        <w:rPr>
          <w:rFonts w:ascii="Verdana" w:eastAsia="Times New Roman" w:hAnsi="Verdana" w:cs="Times New Roman"/>
          <w:color w:val="000000"/>
          <w:sz w:val="18"/>
          <w:szCs w:val="18"/>
          <w:lang w:eastAsia="pl-PL"/>
        </w:rPr>
        <w:t>, teza z uzasadnienia wyroku Sądu Najwyższego z dnia 15 listopada 2000 r.</w:t>
      </w:r>
      <w:r w:rsidRPr="009F7625">
        <w:rPr>
          <w:rFonts w:ascii="Verdana" w:eastAsia="Times New Roman" w:hAnsi="Verdana" w:cs="Times New Roman"/>
          <w:color w:val="000000"/>
          <w:sz w:val="18"/>
          <w:lang w:eastAsia="pl-PL"/>
        </w:rPr>
        <w:t> </w:t>
      </w:r>
      <w:bookmarkStart w:id="9" w:name="orz.160294270"/>
      <w:r w:rsidRPr="009F7625">
        <w:rPr>
          <w:rFonts w:ascii="Verdana" w:eastAsia="Times New Roman" w:hAnsi="Verdana" w:cs="Times New Roman"/>
          <w:color w:val="000000"/>
          <w:sz w:val="18"/>
          <w:szCs w:val="18"/>
          <w:lang w:eastAsia="pl-PL"/>
        </w:rPr>
        <w:fldChar w:fldCharType="begin"/>
      </w:r>
      <w:r w:rsidRPr="009F7625">
        <w:rPr>
          <w:rFonts w:ascii="Verdana" w:eastAsia="Times New Roman" w:hAnsi="Verdana" w:cs="Times New Roman"/>
          <w:color w:val="000000"/>
          <w:sz w:val="18"/>
          <w:szCs w:val="18"/>
          <w:lang w:eastAsia="pl-PL"/>
        </w:rPr>
        <w:instrText xml:space="preserve"> HYPERLINK "https://sip.legalis.pl/document-view.seam?documentId=mrswglrrgyydeojugi3ta" </w:instrText>
      </w:r>
      <w:r w:rsidRPr="009F7625">
        <w:rPr>
          <w:rFonts w:ascii="Verdana" w:eastAsia="Times New Roman" w:hAnsi="Verdana" w:cs="Times New Roman"/>
          <w:color w:val="000000"/>
          <w:sz w:val="18"/>
          <w:szCs w:val="18"/>
          <w:lang w:eastAsia="pl-PL"/>
        </w:rPr>
        <w:fldChar w:fldCharType="separate"/>
      </w:r>
      <w:r w:rsidRPr="009F7625">
        <w:rPr>
          <w:rFonts w:ascii="Verdana" w:eastAsia="Times New Roman" w:hAnsi="Verdana" w:cs="Times New Roman"/>
          <w:color w:val="CC0000"/>
          <w:sz w:val="18"/>
          <w:u w:val="single"/>
          <w:lang w:eastAsia="pl-PL"/>
        </w:rPr>
        <w:t>IV CKN 1383/00</w:t>
      </w:r>
      <w:r w:rsidRPr="009F7625">
        <w:rPr>
          <w:rFonts w:ascii="Verdana" w:eastAsia="Times New Roman" w:hAnsi="Verdana" w:cs="Times New Roman"/>
          <w:color w:val="000000"/>
          <w:sz w:val="18"/>
          <w:szCs w:val="18"/>
          <w:lang w:eastAsia="pl-PL"/>
        </w:rPr>
        <w:fldChar w:fldCharType="end"/>
      </w:r>
      <w:bookmarkEnd w:id="9"/>
      <w:r w:rsidRPr="009F7625">
        <w:rPr>
          <w:rFonts w:ascii="Verdana" w:eastAsia="Times New Roman" w:hAnsi="Verdana" w:cs="Times New Roman"/>
          <w:color w:val="000000"/>
          <w:sz w:val="18"/>
          <w:szCs w:val="18"/>
          <w:lang w:eastAsia="pl-PL"/>
        </w:rPr>
        <w:t>, teza z uzasadnienia wyroku Sądu Najwyższego z dnia 7 listopada 2000 r.</w:t>
      </w:r>
      <w:r w:rsidRPr="009F7625">
        <w:rPr>
          <w:rFonts w:ascii="Verdana" w:eastAsia="Times New Roman" w:hAnsi="Verdana" w:cs="Times New Roman"/>
          <w:color w:val="000000"/>
          <w:sz w:val="18"/>
          <w:lang w:eastAsia="pl-PL"/>
        </w:rPr>
        <w:t> </w:t>
      </w:r>
      <w:bookmarkStart w:id="10" w:name="orz.10042112"/>
      <w:r w:rsidRPr="009F7625">
        <w:rPr>
          <w:rFonts w:ascii="Verdana" w:eastAsia="Times New Roman" w:hAnsi="Verdana" w:cs="Times New Roman"/>
          <w:color w:val="000000"/>
          <w:sz w:val="18"/>
          <w:szCs w:val="18"/>
          <w:lang w:eastAsia="pl-PL"/>
        </w:rPr>
        <w:fldChar w:fldCharType="begin"/>
      </w:r>
      <w:r w:rsidRPr="009F7625">
        <w:rPr>
          <w:rFonts w:ascii="Verdana" w:eastAsia="Times New Roman" w:hAnsi="Verdana" w:cs="Times New Roman"/>
          <w:color w:val="000000"/>
          <w:sz w:val="18"/>
          <w:szCs w:val="18"/>
          <w:lang w:eastAsia="pl-PL"/>
        </w:rPr>
        <w:instrText xml:space="preserve"> HYPERLINK "https://sip.legalis.pl/document-view.seam?documentId=mrswglrrgaydimrrgeza" </w:instrText>
      </w:r>
      <w:r w:rsidRPr="009F7625">
        <w:rPr>
          <w:rFonts w:ascii="Verdana" w:eastAsia="Times New Roman" w:hAnsi="Verdana" w:cs="Times New Roman"/>
          <w:color w:val="000000"/>
          <w:sz w:val="18"/>
          <w:szCs w:val="18"/>
          <w:lang w:eastAsia="pl-PL"/>
        </w:rPr>
        <w:fldChar w:fldCharType="separate"/>
      </w:r>
      <w:r w:rsidRPr="009F7625">
        <w:rPr>
          <w:rFonts w:ascii="Verdana" w:eastAsia="Times New Roman" w:hAnsi="Verdana" w:cs="Times New Roman"/>
          <w:color w:val="CC0000"/>
          <w:sz w:val="18"/>
          <w:u w:val="single"/>
          <w:lang w:eastAsia="pl-PL"/>
        </w:rPr>
        <w:t>I CKN 1170/98</w:t>
      </w:r>
      <w:r w:rsidRPr="009F7625">
        <w:rPr>
          <w:rFonts w:ascii="Verdana" w:eastAsia="Times New Roman" w:hAnsi="Verdana" w:cs="Times New Roman"/>
          <w:color w:val="000000"/>
          <w:sz w:val="18"/>
          <w:szCs w:val="18"/>
          <w:lang w:eastAsia="pl-PL"/>
        </w:rPr>
        <w:fldChar w:fldCharType="end"/>
      </w:r>
      <w:bookmarkEnd w:id="10"/>
      <w:r w:rsidRPr="009F7625">
        <w:rPr>
          <w:rFonts w:ascii="Verdana" w:eastAsia="Times New Roman" w:hAnsi="Verdana" w:cs="Times New Roman"/>
          <w:color w:val="000000"/>
          <w:sz w:val="18"/>
          <w:szCs w:val="18"/>
          <w:lang w:eastAsia="pl-PL"/>
        </w:rPr>
        <w:t>, OSNC 2001, z. 4, poz. 64).</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W zakresie przeprowadzonego przez Sąd I instancji dowodu z opinii biegłego sądowego z zakresu technologii drewna wskazać należy, że jej wnioski są przez biegłego stawiane kategorycznie, a nadto są one umotywowane w sposób pozwalający na prześledzenie rozumowania, jakie doprowadziło do takich konkluzji. Także brak jest podstaw do kwestionowania podstaw teoretycznych wydanej opinii czy poziomu wiedzy biegłego, gdyż jako biegły został powołany Instytut (...) w P. Wreszcie brak jest podstaw do twierdzenia, jakoby wydana opinia była sprzeczna z zasadami logicznego myślenia, doświadczenia życiowego lub wiedzy powszechnej. W szczególności podczas składania dodatkowej podczas składania dodatkowej, ustnej opinii podczas rozprawy rozprawie w dniu 4 października 2012 roku biegł do zastrzeżeń i uwag stron (k. (...) - (...)), zmierzając, przez poszerzenie i pogłębienie argumentacji, do przekona o trafności wniosków opinii, co również dodatkowo przemawia na rzecz wydanej w sprawie opinii. Po wydaniu ustnej opinii żądna że stron sporu nie czyniła zastrzeżeń do jej treści.</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 xml:space="preserve">Z tych względów na co trafnie wskazał w uzasadnieniu zaskarżonego wyroku Sąd Okręgowy to właśnie ustalenia opinii biegłego stanowiły podstawę uznania, iż powód nie udowodnił - w szczególności przez niedopełnienie aktów staranności - iż dostarczony przez pozwaną preparat K. (...) nie posiadał zakładanych właściwości. Biegły bowiem stwierdza, iż nie mógł określić jaki preparat ostatecznie przedstawiono mu do badania, zaś dokumentacja fotograficzna załączona do pisemnej opinii jednoznacznie wskazuje, iż kontener zawierający preparat nie miał fabrycznych oznaczeń. Skoro zatem przedmiotowy kontener od roku 2007 pozostawał w dyspozycji powoda to zatem na nim ciążył obowiązek, aby zawarta w nim substancja, a także sam kontener pozostał nienaruszony do chwili przeprowadzenia rzetelnych, specjalistycznych badań, na które w szczególności wskazywała prywatna ekspertyza z lipca 2007 roku wydana przez (...) and </w:t>
      </w:r>
      <w:proofErr w:type="spellStart"/>
      <w:r w:rsidRPr="009F7625">
        <w:rPr>
          <w:rFonts w:ascii="Verdana" w:eastAsia="Times New Roman" w:hAnsi="Verdana" w:cs="Times New Roman"/>
          <w:color w:val="000000"/>
          <w:sz w:val="18"/>
          <w:szCs w:val="18"/>
          <w:lang w:eastAsia="pl-PL"/>
        </w:rPr>
        <w:t>amp</w:t>
      </w:r>
      <w:proofErr w:type="spellEnd"/>
      <w:r w:rsidRPr="009F7625">
        <w:rPr>
          <w:rFonts w:ascii="Verdana" w:eastAsia="Times New Roman" w:hAnsi="Verdana" w:cs="Times New Roman"/>
          <w:color w:val="000000"/>
          <w:sz w:val="18"/>
          <w:szCs w:val="18"/>
          <w:lang w:eastAsia="pl-PL"/>
        </w:rPr>
        <w:t xml:space="preserve">; CO.KG. Fakt, iż sporny kontener został przez powoda pozbawiony oznaczeń, co uniemożliwia jego </w:t>
      </w:r>
      <w:proofErr w:type="spellStart"/>
      <w:r w:rsidRPr="009F7625">
        <w:rPr>
          <w:rFonts w:ascii="Verdana" w:eastAsia="Times New Roman" w:hAnsi="Verdana" w:cs="Times New Roman"/>
          <w:color w:val="000000"/>
          <w:sz w:val="18"/>
          <w:szCs w:val="18"/>
          <w:lang w:eastAsia="pl-PL"/>
        </w:rPr>
        <w:t>identyfikajcę</w:t>
      </w:r>
      <w:proofErr w:type="spellEnd"/>
      <w:r w:rsidRPr="009F7625">
        <w:rPr>
          <w:rFonts w:ascii="Verdana" w:eastAsia="Times New Roman" w:hAnsi="Verdana" w:cs="Times New Roman"/>
          <w:color w:val="000000"/>
          <w:sz w:val="18"/>
          <w:szCs w:val="18"/>
          <w:lang w:eastAsia="pl-PL"/>
        </w:rPr>
        <w:t>, także obciąża Spółkę (...) i dopasowywanie w chwili obecnej do kontenera przez powoda jakiś oznaczeń utwierdza tylko w przekonaniu, iż usunięcie oznaczeń było celowe. Podkreślenia wymaga także fakt, iż w toku sporu strona pozwana kwestionowała także prawidłowość impregnacji dokonanej w przedsiębiorstwie powoda. Okoliczność ta jednak nie była jednak przedmiotem badań, a w chwili obecnej takie badania wydają się niemożliwe z uwagi na zmianę technologii w Spółce (...) z impregnacji ręcznej na automatyczną.</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 xml:space="preserve">W treści apelacji wskazano także, iż Sąd I instancji nie uzasadnił z jakich przyczyn nie dał wiary zeznaniom świadków wskazanym przez stroną powodową dotyczących braku właściwości spornego impregnatu. Oczywistym jest jednak - na co już wskazano - że dowód z opinii biegłego nie może on być zastąpiony inną czynnością dowodową (np. przesłuchaniem świadka) i to niezależnie od wiedzy fachowej, jaką dysponuje świadek. Świadek bowiem składa zeznania jedynie w zakresie okoliczności faktycznych sporu i jego oceny właściwości produktu chemicznego muszą być z urzędu uznane za indyferentne dla rozstrzygnięcia sporu. Sąd I instancji jest zobowiązany do wyjaśnienia motywów podjętego rozstrzygnięcia w sposób umożliwiający przeprowadzenie kontroli instancyjnej zaskarżonego orzeczenia. Uzasadnienie orzeczenia sądowego winno zwierać prawidłową rekonstrukcję stanu faktycznego pod kątem jego dalszego przyrównania do miarodajnej normy prawa materialnego i ustalenia na tej podstawie ostatecznego wyniku sprawy. Nie sposób jednak przyjąć by uzasadnienie orzeczenia miało zawierać odniesienie do każdej z możliwych interpretacji tego stanu faktycznego przedstawianej przez strony, a w szczególności znaczenia dla sprawy określonego dowodu. W niniejszej sprawie jest bezspornym, iż brak bezprawności działania pozwanego Sąd I instancji wywiódł i dał temu wyraz w uzasadnieniu orzeczenia z opinii biegłego sądowego. Środek dowodowy w postaci opinii biegłego nie może zostać zastąpiony przez inny </w:t>
      </w:r>
      <w:r w:rsidRPr="009F7625">
        <w:rPr>
          <w:rFonts w:ascii="Verdana" w:eastAsia="Times New Roman" w:hAnsi="Verdana" w:cs="Times New Roman"/>
          <w:color w:val="000000"/>
          <w:sz w:val="18"/>
          <w:szCs w:val="18"/>
          <w:lang w:eastAsia="pl-PL"/>
        </w:rPr>
        <w:lastRenderedPageBreak/>
        <w:t>dowód, a tym samym nie istnieje konkurencyjność pomiędzy opinią, a zeznaniami świadków. Tym samym nie istniał obowiązek zestawiania tych dowodów, a brak takiego zestawienia nie może być uznany za naruszenie dyspozycji</w:t>
      </w:r>
      <w:r w:rsidRPr="009F7625">
        <w:rPr>
          <w:rFonts w:ascii="Verdana" w:eastAsia="Times New Roman" w:hAnsi="Verdana" w:cs="Times New Roman"/>
          <w:color w:val="000000"/>
          <w:sz w:val="18"/>
          <w:lang w:eastAsia="pl-PL"/>
        </w:rPr>
        <w:t> </w:t>
      </w:r>
      <w:hyperlink r:id="rId30" w:history="1">
        <w:r w:rsidRPr="009F7625">
          <w:rPr>
            <w:rFonts w:ascii="Verdana" w:eastAsia="Times New Roman" w:hAnsi="Verdana" w:cs="Times New Roman"/>
            <w:color w:val="CC0000"/>
            <w:sz w:val="18"/>
            <w:u w:val="single"/>
            <w:lang w:eastAsia="pl-PL"/>
          </w:rPr>
          <w:t>art. 328 § 2</w:t>
        </w:r>
      </w:hyperlink>
      <w:r w:rsidRPr="009F7625">
        <w:rPr>
          <w:rFonts w:ascii="Verdana" w:eastAsia="Times New Roman" w:hAnsi="Verdana" w:cs="Times New Roman"/>
          <w:color w:val="000000"/>
          <w:sz w:val="18"/>
          <w:lang w:eastAsia="pl-PL"/>
        </w:rPr>
        <w:t> </w:t>
      </w:r>
      <w:r w:rsidRPr="009F7625">
        <w:rPr>
          <w:rFonts w:ascii="Verdana" w:eastAsia="Times New Roman" w:hAnsi="Verdana" w:cs="Times New Roman"/>
          <w:color w:val="000000"/>
          <w:sz w:val="18"/>
          <w:szCs w:val="18"/>
          <w:lang w:eastAsia="pl-PL"/>
        </w:rPr>
        <w:t>KPC.</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Przedstawiona wyżej analiza okoliczności faktycznych sprawy, potwierdza stanowisko Sądu I ustalone w uzasadnieniu zaskarżonego wyroku. Ocena materiału dowodowego, której skutkiem jest wyprowadzenie logicznych wniosków przez sąd orzekający w zgodzie z zasadami doświadczenia życiowego nie narusza zasady swobodnej oceny dowodów przewidzianej w</w:t>
      </w:r>
      <w:r w:rsidRPr="009F7625">
        <w:rPr>
          <w:rFonts w:ascii="Verdana" w:eastAsia="Times New Roman" w:hAnsi="Verdana" w:cs="Times New Roman"/>
          <w:color w:val="000000"/>
          <w:sz w:val="18"/>
          <w:lang w:eastAsia="pl-PL"/>
        </w:rPr>
        <w:t> </w:t>
      </w:r>
      <w:hyperlink r:id="rId31" w:history="1">
        <w:r w:rsidRPr="009F7625">
          <w:rPr>
            <w:rFonts w:ascii="Verdana" w:eastAsia="Times New Roman" w:hAnsi="Verdana" w:cs="Times New Roman"/>
            <w:color w:val="CC0000"/>
            <w:sz w:val="18"/>
            <w:u w:val="single"/>
            <w:lang w:eastAsia="pl-PL"/>
          </w:rPr>
          <w:t>art. 233</w:t>
        </w:r>
      </w:hyperlink>
      <w:r w:rsidRPr="009F7625">
        <w:rPr>
          <w:rFonts w:ascii="Verdana" w:eastAsia="Times New Roman" w:hAnsi="Verdana" w:cs="Times New Roman"/>
          <w:color w:val="000000"/>
          <w:sz w:val="18"/>
          <w:lang w:eastAsia="pl-PL"/>
        </w:rPr>
        <w:t> </w:t>
      </w:r>
      <w:r w:rsidRPr="009F7625">
        <w:rPr>
          <w:rFonts w:ascii="Verdana" w:eastAsia="Times New Roman" w:hAnsi="Verdana" w:cs="Times New Roman"/>
          <w:color w:val="000000"/>
          <w:sz w:val="18"/>
          <w:szCs w:val="18"/>
          <w:lang w:eastAsia="pl-PL"/>
        </w:rPr>
        <w:t>KPC, choćby dowiedzione zostało, że z tego samego materiału dałoby się wysnuć równie logiczne i zgodne z zasadami doświadczenia życiowego wnioski odmienne. Tylko w przypadku wykazania, że brak jest powiązania, w świetle kryteriów wyżej wzmiankowanych, przyjętych wniosków z zebranym materiałem dowodowym, możliwe jest skuteczne podważenie oceny dowodów dokonanej przez sąd; nie jest tu wystarczająca sama polemika naprowadzająca wnioski odmienne, lecz wymagane jest wskazanie, w czym wyraża się brak logiki lub uchybienie regułom doświadczenia życiowego w przyjęciu wniosków kwestionowanych. Sąd I instancji dokonał oceny zebranego materiału dowodowego z zachowaniem powyższych kryteriów, co więcej, z zebranego materiału dowodowego nie można wyprowadzić innych wniosków, które dałyby się logicznie uzasadnić. W tym stanie rzeczy nie zasługują na uwzględnienie podnoszone przez skarżącego zarzuty błędów w ustaleniach faktycznych, czy też przekroczenia granic swobodnej oceny dowodów (</w:t>
      </w:r>
      <w:hyperlink r:id="rId32" w:history="1">
        <w:r w:rsidRPr="009F7625">
          <w:rPr>
            <w:rFonts w:ascii="Verdana" w:eastAsia="Times New Roman" w:hAnsi="Verdana" w:cs="Times New Roman"/>
            <w:color w:val="CC0000"/>
            <w:sz w:val="18"/>
            <w:u w:val="single"/>
            <w:lang w:eastAsia="pl-PL"/>
          </w:rPr>
          <w:t>art. 233 § 1</w:t>
        </w:r>
      </w:hyperlink>
      <w:r w:rsidRPr="009F7625">
        <w:rPr>
          <w:rFonts w:ascii="Verdana" w:eastAsia="Times New Roman" w:hAnsi="Verdana" w:cs="Times New Roman"/>
          <w:color w:val="000000"/>
          <w:sz w:val="18"/>
          <w:lang w:eastAsia="pl-PL"/>
        </w:rPr>
        <w:t> </w:t>
      </w:r>
      <w:r w:rsidRPr="009F7625">
        <w:rPr>
          <w:rFonts w:ascii="Verdana" w:eastAsia="Times New Roman" w:hAnsi="Verdana" w:cs="Times New Roman"/>
          <w:color w:val="000000"/>
          <w:sz w:val="18"/>
          <w:szCs w:val="18"/>
          <w:lang w:eastAsia="pl-PL"/>
        </w:rPr>
        <w:t>KPC).</w:t>
      </w:r>
    </w:p>
    <w:p w:rsidR="009F7625" w:rsidRPr="009F7625" w:rsidRDefault="009F7625" w:rsidP="009F7625">
      <w:pPr>
        <w:shd w:val="clear" w:color="auto" w:fill="FFFFFF"/>
        <w:spacing w:after="0" w:line="234" w:lineRule="atLeast"/>
        <w:rPr>
          <w:rFonts w:ascii="Verdana" w:eastAsia="Times New Roman" w:hAnsi="Verdana" w:cs="Times New Roman"/>
          <w:color w:val="000000"/>
          <w:sz w:val="18"/>
          <w:szCs w:val="18"/>
          <w:lang w:eastAsia="pl-PL"/>
        </w:rPr>
      </w:pPr>
      <w:r w:rsidRPr="009F7625">
        <w:rPr>
          <w:rFonts w:ascii="Verdana" w:eastAsia="Times New Roman" w:hAnsi="Verdana" w:cs="Times New Roman"/>
          <w:color w:val="000000"/>
          <w:sz w:val="18"/>
          <w:szCs w:val="18"/>
          <w:lang w:eastAsia="pl-PL"/>
        </w:rPr>
        <w:t>Mając powyższe na uwadze Sąd Apelacyjny na podstawie</w:t>
      </w:r>
      <w:r w:rsidRPr="009F7625">
        <w:rPr>
          <w:rFonts w:ascii="Verdana" w:eastAsia="Times New Roman" w:hAnsi="Verdana" w:cs="Times New Roman"/>
          <w:color w:val="000000"/>
          <w:sz w:val="18"/>
          <w:lang w:eastAsia="pl-PL"/>
        </w:rPr>
        <w:t> </w:t>
      </w:r>
      <w:hyperlink r:id="rId33" w:history="1">
        <w:r w:rsidRPr="009F7625">
          <w:rPr>
            <w:rFonts w:ascii="Verdana" w:eastAsia="Times New Roman" w:hAnsi="Verdana" w:cs="Times New Roman"/>
            <w:color w:val="CC0000"/>
            <w:sz w:val="18"/>
            <w:u w:val="single"/>
            <w:lang w:eastAsia="pl-PL"/>
          </w:rPr>
          <w:t>art. 385</w:t>
        </w:r>
      </w:hyperlink>
      <w:r w:rsidRPr="009F7625">
        <w:rPr>
          <w:rFonts w:ascii="Verdana" w:eastAsia="Times New Roman" w:hAnsi="Verdana" w:cs="Times New Roman"/>
          <w:color w:val="000000"/>
          <w:sz w:val="18"/>
          <w:lang w:eastAsia="pl-PL"/>
        </w:rPr>
        <w:t> </w:t>
      </w:r>
      <w:r w:rsidRPr="009F7625">
        <w:rPr>
          <w:rFonts w:ascii="Verdana" w:eastAsia="Times New Roman" w:hAnsi="Verdana" w:cs="Times New Roman"/>
          <w:color w:val="000000"/>
          <w:sz w:val="18"/>
          <w:szCs w:val="18"/>
          <w:lang w:eastAsia="pl-PL"/>
        </w:rPr>
        <w:t>KPC oddalił apelację jako bezzasadną, zaś w oparciu o przepisy</w:t>
      </w:r>
      <w:r w:rsidRPr="009F7625">
        <w:rPr>
          <w:rFonts w:ascii="Verdana" w:eastAsia="Times New Roman" w:hAnsi="Verdana" w:cs="Times New Roman"/>
          <w:color w:val="000000"/>
          <w:sz w:val="18"/>
          <w:lang w:eastAsia="pl-PL"/>
        </w:rPr>
        <w:t> </w:t>
      </w:r>
      <w:hyperlink r:id="rId34" w:history="1">
        <w:r w:rsidRPr="009F7625">
          <w:rPr>
            <w:rFonts w:ascii="Verdana" w:eastAsia="Times New Roman" w:hAnsi="Verdana" w:cs="Times New Roman"/>
            <w:color w:val="CC0000"/>
            <w:sz w:val="18"/>
            <w:u w:val="single"/>
            <w:lang w:eastAsia="pl-PL"/>
          </w:rPr>
          <w:t>art. 98 § 1</w:t>
        </w:r>
      </w:hyperlink>
      <w:r w:rsidRPr="009F7625">
        <w:rPr>
          <w:rFonts w:ascii="Verdana" w:eastAsia="Times New Roman" w:hAnsi="Verdana" w:cs="Times New Roman"/>
          <w:color w:val="000000"/>
          <w:sz w:val="18"/>
          <w:lang w:eastAsia="pl-PL"/>
        </w:rPr>
        <w:t> </w:t>
      </w:r>
      <w:r w:rsidRPr="009F7625">
        <w:rPr>
          <w:rFonts w:ascii="Verdana" w:eastAsia="Times New Roman" w:hAnsi="Verdana" w:cs="Times New Roman"/>
          <w:color w:val="000000"/>
          <w:sz w:val="18"/>
          <w:szCs w:val="18"/>
          <w:lang w:eastAsia="pl-PL"/>
        </w:rPr>
        <w:t>KPC w związku z</w:t>
      </w:r>
      <w:r w:rsidRPr="009F7625">
        <w:rPr>
          <w:rFonts w:ascii="Verdana" w:eastAsia="Times New Roman" w:hAnsi="Verdana" w:cs="Times New Roman"/>
          <w:color w:val="000000"/>
          <w:sz w:val="18"/>
          <w:lang w:eastAsia="pl-PL"/>
        </w:rPr>
        <w:t> </w:t>
      </w:r>
      <w:hyperlink r:id="rId35" w:history="1">
        <w:r w:rsidRPr="009F7625">
          <w:rPr>
            <w:rFonts w:ascii="Verdana" w:eastAsia="Times New Roman" w:hAnsi="Verdana" w:cs="Times New Roman"/>
            <w:color w:val="CC0000"/>
            <w:sz w:val="18"/>
            <w:u w:val="single"/>
            <w:lang w:eastAsia="pl-PL"/>
          </w:rPr>
          <w:t>art. 391 § 1</w:t>
        </w:r>
      </w:hyperlink>
      <w:r w:rsidRPr="009F7625">
        <w:rPr>
          <w:rFonts w:ascii="Verdana" w:eastAsia="Times New Roman" w:hAnsi="Verdana" w:cs="Times New Roman"/>
          <w:color w:val="000000"/>
          <w:sz w:val="18"/>
          <w:lang w:eastAsia="pl-PL"/>
        </w:rPr>
        <w:t> </w:t>
      </w:r>
      <w:r w:rsidRPr="009F7625">
        <w:rPr>
          <w:rFonts w:ascii="Verdana" w:eastAsia="Times New Roman" w:hAnsi="Verdana" w:cs="Times New Roman"/>
          <w:color w:val="000000"/>
          <w:sz w:val="18"/>
          <w:szCs w:val="18"/>
          <w:lang w:eastAsia="pl-PL"/>
        </w:rPr>
        <w:t>KPC i zasadę odpowiedzialności za wynik procesu, zasądził od strony powodowej na rzecz strony pozwanej kwotę 5.400,00 złotych tytułem zwrotu kosztów zastępstwa procesowego w postępowaniu apelacyjnym. Wysokość przedmiotowych kosztów jest zgodna z</w:t>
      </w:r>
      <w:r w:rsidRPr="009F7625">
        <w:rPr>
          <w:rFonts w:ascii="Verdana" w:eastAsia="Times New Roman" w:hAnsi="Verdana" w:cs="Times New Roman"/>
          <w:color w:val="000000"/>
          <w:sz w:val="18"/>
          <w:lang w:eastAsia="pl-PL"/>
        </w:rPr>
        <w:t> </w:t>
      </w:r>
      <w:hyperlink r:id="rId36" w:history="1">
        <w:r w:rsidRPr="009F7625">
          <w:rPr>
            <w:rFonts w:ascii="Verdana" w:eastAsia="Times New Roman" w:hAnsi="Verdana" w:cs="Times New Roman"/>
            <w:color w:val="CC0000"/>
            <w:sz w:val="18"/>
            <w:u w:val="single"/>
            <w:lang w:eastAsia="pl-PL"/>
          </w:rPr>
          <w:t xml:space="preserve">§ 6 </w:t>
        </w:r>
        <w:proofErr w:type="spellStart"/>
        <w:r w:rsidRPr="009F7625">
          <w:rPr>
            <w:rFonts w:ascii="Verdana" w:eastAsia="Times New Roman" w:hAnsi="Verdana" w:cs="Times New Roman"/>
            <w:color w:val="CC0000"/>
            <w:sz w:val="18"/>
            <w:u w:val="single"/>
            <w:lang w:eastAsia="pl-PL"/>
          </w:rPr>
          <w:t>pkt</w:t>
        </w:r>
        <w:proofErr w:type="spellEnd"/>
        <w:r w:rsidRPr="009F7625">
          <w:rPr>
            <w:rFonts w:ascii="Verdana" w:eastAsia="Times New Roman" w:hAnsi="Verdana" w:cs="Times New Roman"/>
            <w:color w:val="CC0000"/>
            <w:sz w:val="18"/>
            <w:u w:val="single"/>
            <w:lang w:eastAsia="pl-PL"/>
          </w:rPr>
          <w:t xml:space="preserve"> 7</w:t>
        </w:r>
      </w:hyperlink>
      <w:r w:rsidRPr="009F7625">
        <w:rPr>
          <w:rFonts w:ascii="Verdana" w:eastAsia="Times New Roman" w:hAnsi="Verdana" w:cs="Times New Roman"/>
          <w:color w:val="000000"/>
          <w:sz w:val="18"/>
          <w:lang w:eastAsia="pl-PL"/>
        </w:rPr>
        <w:t> </w:t>
      </w:r>
      <w:r w:rsidRPr="009F7625">
        <w:rPr>
          <w:rFonts w:ascii="Verdana" w:eastAsia="Times New Roman" w:hAnsi="Verdana" w:cs="Times New Roman"/>
          <w:color w:val="000000"/>
          <w:sz w:val="18"/>
          <w:szCs w:val="18"/>
          <w:lang w:eastAsia="pl-PL"/>
        </w:rPr>
        <w:t>w związku z</w:t>
      </w:r>
      <w:r w:rsidRPr="009F7625">
        <w:rPr>
          <w:rFonts w:ascii="Verdana" w:eastAsia="Times New Roman" w:hAnsi="Verdana" w:cs="Times New Roman"/>
          <w:color w:val="000000"/>
          <w:sz w:val="18"/>
          <w:lang w:eastAsia="pl-PL"/>
        </w:rPr>
        <w:t> </w:t>
      </w:r>
      <w:hyperlink r:id="rId37" w:history="1">
        <w:r w:rsidRPr="009F7625">
          <w:rPr>
            <w:rFonts w:ascii="Verdana" w:eastAsia="Times New Roman" w:hAnsi="Verdana" w:cs="Times New Roman"/>
            <w:color w:val="CC0000"/>
            <w:sz w:val="18"/>
            <w:u w:val="single"/>
            <w:lang w:eastAsia="pl-PL"/>
          </w:rPr>
          <w:t xml:space="preserve">§ 13 ust. 1 </w:t>
        </w:r>
        <w:proofErr w:type="spellStart"/>
        <w:r w:rsidRPr="009F7625">
          <w:rPr>
            <w:rFonts w:ascii="Verdana" w:eastAsia="Times New Roman" w:hAnsi="Verdana" w:cs="Times New Roman"/>
            <w:color w:val="CC0000"/>
            <w:sz w:val="18"/>
            <w:u w:val="single"/>
            <w:lang w:eastAsia="pl-PL"/>
          </w:rPr>
          <w:t>pkt</w:t>
        </w:r>
        <w:proofErr w:type="spellEnd"/>
        <w:r w:rsidRPr="009F7625">
          <w:rPr>
            <w:rFonts w:ascii="Verdana" w:eastAsia="Times New Roman" w:hAnsi="Verdana" w:cs="Times New Roman"/>
            <w:color w:val="CC0000"/>
            <w:sz w:val="18"/>
            <w:u w:val="single"/>
            <w:lang w:eastAsia="pl-PL"/>
          </w:rPr>
          <w:t xml:space="preserve"> 2</w:t>
        </w:r>
      </w:hyperlink>
      <w:r w:rsidRPr="009F7625">
        <w:rPr>
          <w:rFonts w:ascii="Verdana" w:eastAsia="Times New Roman" w:hAnsi="Verdana" w:cs="Times New Roman"/>
          <w:color w:val="000000"/>
          <w:sz w:val="18"/>
          <w:lang w:eastAsia="pl-PL"/>
        </w:rPr>
        <w:t> </w:t>
      </w:r>
      <w:r w:rsidRPr="009F7625">
        <w:rPr>
          <w:rFonts w:ascii="Verdana" w:eastAsia="Times New Roman" w:hAnsi="Verdana" w:cs="Times New Roman"/>
          <w:color w:val="000000"/>
          <w:sz w:val="18"/>
          <w:szCs w:val="18"/>
          <w:lang w:eastAsia="pl-PL"/>
        </w:rPr>
        <w:t>rozporządzenia Ministra Sprawiedliwości z dnia 28 września 2002 roku w sprawie opłat za czynności radców prawnych oraz ponoszenia przez Skarb Państwa kosztów nieopłaconej pomocy prawnej udzielonej przez radcę prawnego działającego z urzędu (</w:t>
      </w:r>
      <w:proofErr w:type="spellStart"/>
      <w:r w:rsidRPr="009F7625">
        <w:rPr>
          <w:rFonts w:ascii="Verdana" w:eastAsia="Times New Roman" w:hAnsi="Verdana" w:cs="Times New Roman"/>
          <w:color w:val="000000"/>
          <w:sz w:val="18"/>
          <w:szCs w:val="18"/>
          <w:lang w:eastAsia="pl-PL"/>
        </w:rPr>
        <w:t>Dz.U</w:t>
      </w:r>
      <w:proofErr w:type="spellEnd"/>
      <w:r w:rsidRPr="009F7625">
        <w:rPr>
          <w:rFonts w:ascii="Verdana" w:eastAsia="Times New Roman" w:hAnsi="Verdana" w:cs="Times New Roman"/>
          <w:color w:val="000000"/>
          <w:sz w:val="18"/>
          <w:szCs w:val="18"/>
          <w:lang w:eastAsia="pl-PL"/>
        </w:rPr>
        <w:t>. z 2002 r. Nr 163,</w:t>
      </w:r>
      <w:r w:rsidRPr="009F7625">
        <w:rPr>
          <w:rFonts w:ascii="Verdana" w:eastAsia="Times New Roman" w:hAnsi="Verdana" w:cs="Times New Roman"/>
          <w:color w:val="000000"/>
          <w:sz w:val="18"/>
          <w:lang w:eastAsia="pl-PL"/>
        </w:rPr>
        <w:t> </w:t>
      </w:r>
      <w:hyperlink r:id="rId38" w:history="1">
        <w:r w:rsidRPr="009F7625">
          <w:rPr>
            <w:rFonts w:ascii="Verdana" w:eastAsia="Times New Roman" w:hAnsi="Verdana" w:cs="Times New Roman"/>
            <w:color w:val="CC0000"/>
            <w:sz w:val="18"/>
            <w:u w:val="single"/>
            <w:lang w:eastAsia="pl-PL"/>
          </w:rPr>
          <w:t>poz. 1349</w:t>
        </w:r>
      </w:hyperlink>
      <w:r w:rsidRPr="009F7625">
        <w:rPr>
          <w:rFonts w:ascii="Verdana" w:eastAsia="Times New Roman" w:hAnsi="Verdana" w:cs="Times New Roman"/>
          <w:color w:val="000000"/>
          <w:sz w:val="18"/>
          <w:lang w:eastAsia="pl-PL"/>
        </w:rPr>
        <w:t> </w:t>
      </w:r>
      <w:r w:rsidRPr="009F7625">
        <w:rPr>
          <w:rFonts w:ascii="Verdana" w:eastAsia="Times New Roman" w:hAnsi="Verdana" w:cs="Times New Roman"/>
          <w:color w:val="000000"/>
          <w:sz w:val="18"/>
          <w:szCs w:val="18"/>
          <w:lang w:eastAsia="pl-PL"/>
        </w:rPr>
        <w:t>ze zm.).</w:t>
      </w:r>
    </w:p>
    <w:p w:rsidR="0012715E" w:rsidRDefault="0012715E"/>
    <w:sectPr w:rsidR="0012715E" w:rsidSect="004076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B44CC"/>
    <w:multiLevelType w:val="multilevel"/>
    <w:tmpl w:val="0220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F7625"/>
    <w:rsid w:val="0012715E"/>
    <w:rsid w:val="004076AA"/>
    <w:rsid w:val="008667E4"/>
    <w:rsid w:val="009F76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6AA"/>
  </w:style>
  <w:style w:type="paragraph" w:styleId="Nagwek3">
    <w:name w:val="heading 3"/>
    <w:basedOn w:val="Normalny"/>
    <w:link w:val="Nagwek3Znak"/>
    <w:uiPriority w:val="9"/>
    <w:qFormat/>
    <w:rsid w:val="009F762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9F7625"/>
    <w:rPr>
      <w:rFonts w:ascii="Times New Roman" w:eastAsia="Times New Roman" w:hAnsi="Times New Roman" w:cs="Times New Roman"/>
      <w:b/>
      <w:bCs/>
      <w:sz w:val="27"/>
      <w:szCs w:val="27"/>
      <w:lang w:eastAsia="pl-PL"/>
    </w:rPr>
  </w:style>
  <w:style w:type="paragraph" w:customStyle="1" w:styleId="naglowekcenter">
    <w:name w:val="naglowek_center"/>
    <w:basedOn w:val="Normalny"/>
    <w:rsid w:val="009F762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9F762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F7625"/>
    <w:rPr>
      <w:color w:val="0000FF"/>
      <w:u w:val="single"/>
    </w:rPr>
  </w:style>
  <w:style w:type="character" w:customStyle="1" w:styleId="apple-converted-space">
    <w:name w:val="apple-converted-space"/>
    <w:basedOn w:val="Domylnaczcionkaakapitu"/>
    <w:rsid w:val="009F7625"/>
  </w:style>
</w:styles>
</file>

<file path=word/webSettings.xml><?xml version="1.0" encoding="utf-8"?>
<w:webSettings xmlns:r="http://schemas.openxmlformats.org/officeDocument/2006/relationships" xmlns:w="http://schemas.openxmlformats.org/wordprocessingml/2006/main">
  <w:divs>
    <w:div w:id="1657882703">
      <w:bodyDiv w:val="1"/>
      <w:marLeft w:val="0"/>
      <w:marRight w:val="0"/>
      <w:marTop w:val="0"/>
      <w:marBottom w:val="0"/>
      <w:divBdr>
        <w:top w:val="none" w:sz="0" w:space="0" w:color="auto"/>
        <w:left w:val="none" w:sz="0" w:space="0" w:color="auto"/>
        <w:bottom w:val="none" w:sz="0" w:space="0" w:color="auto"/>
        <w:right w:val="none" w:sz="0" w:space="0" w:color="auto"/>
      </w:divBdr>
      <w:divsChild>
        <w:div w:id="794566629">
          <w:marLeft w:val="0"/>
          <w:marRight w:val="0"/>
          <w:marTop w:val="0"/>
          <w:marBottom w:val="0"/>
          <w:divBdr>
            <w:top w:val="none" w:sz="0" w:space="0" w:color="auto"/>
            <w:left w:val="none" w:sz="0" w:space="0" w:color="auto"/>
            <w:bottom w:val="none" w:sz="0" w:space="0" w:color="auto"/>
            <w:right w:val="none" w:sz="0" w:space="0" w:color="auto"/>
          </w:divBdr>
          <w:divsChild>
            <w:div w:id="893811642">
              <w:marLeft w:val="0"/>
              <w:marRight w:val="0"/>
              <w:marTop w:val="0"/>
              <w:marBottom w:val="0"/>
              <w:divBdr>
                <w:top w:val="none" w:sz="0" w:space="0" w:color="auto"/>
                <w:left w:val="none" w:sz="0" w:space="0" w:color="auto"/>
                <w:bottom w:val="none" w:sz="0" w:space="0" w:color="auto"/>
                <w:right w:val="none" w:sz="0" w:space="0" w:color="auto"/>
              </w:divBdr>
            </w:div>
          </w:divsChild>
        </w:div>
        <w:div w:id="1770662229">
          <w:marLeft w:val="0"/>
          <w:marRight w:val="0"/>
          <w:marTop w:val="0"/>
          <w:marBottom w:val="0"/>
          <w:divBdr>
            <w:top w:val="none" w:sz="0" w:space="0" w:color="auto"/>
            <w:left w:val="none" w:sz="0" w:space="0" w:color="auto"/>
            <w:bottom w:val="none" w:sz="0" w:space="0" w:color="auto"/>
            <w:right w:val="none" w:sz="0" w:space="0" w:color="auto"/>
          </w:divBdr>
        </w:div>
        <w:div w:id="1197425667">
          <w:marLeft w:val="0"/>
          <w:marRight w:val="0"/>
          <w:marTop w:val="0"/>
          <w:marBottom w:val="0"/>
          <w:divBdr>
            <w:top w:val="none" w:sz="0" w:space="0" w:color="auto"/>
            <w:left w:val="none" w:sz="0" w:space="0" w:color="auto"/>
            <w:bottom w:val="none" w:sz="0" w:space="0" w:color="auto"/>
            <w:right w:val="none" w:sz="0" w:space="0" w:color="auto"/>
          </w:divBdr>
        </w:div>
        <w:div w:id="1043671299">
          <w:marLeft w:val="0"/>
          <w:marRight w:val="0"/>
          <w:marTop w:val="0"/>
          <w:marBottom w:val="0"/>
          <w:divBdr>
            <w:top w:val="none" w:sz="0" w:space="0" w:color="auto"/>
            <w:left w:val="none" w:sz="0" w:space="0" w:color="auto"/>
            <w:bottom w:val="none" w:sz="0" w:space="0" w:color="auto"/>
            <w:right w:val="none" w:sz="0" w:space="0" w:color="auto"/>
          </w:divBdr>
        </w:div>
        <w:div w:id="1842886565">
          <w:marLeft w:val="0"/>
          <w:marRight w:val="0"/>
          <w:marTop w:val="0"/>
          <w:marBottom w:val="0"/>
          <w:divBdr>
            <w:top w:val="none" w:sz="0" w:space="0" w:color="auto"/>
            <w:left w:val="none" w:sz="0" w:space="0" w:color="auto"/>
            <w:bottom w:val="none" w:sz="0" w:space="0" w:color="auto"/>
            <w:right w:val="none" w:sz="0" w:space="0" w:color="auto"/>
          </w:divBdr>
          <w:divsChild>
            <w:div w:id="1798833429">
              <w:marLeft w:val="0"/>
              <w:marRight w:val="0"/>
              <w:marTop w:val="0"/>
              <w:marBottom w:val="0"/>
              <w:divBdr>
                <w:top w:val="none" w:sz="0" w:space="0" w:color="auto"/>
                <w:left w:val="none" w:sz="0" w:space="0" w:color="auto"/>
                <w:bottom w:val="none" w:sz="0" w:space="0" w:color="auto"/>
                <w:right w:val="none" w:sz="0" w:space="0" w:color="auto"/>
              </w:divBdr>
            </w:div>
          </w:divsChild>
        </w:div>
        <w:div w:id="2036343820">
          <w:marLeft w:val="0"/>
          <w:marRight w:val="0"/>
          <w:marTop w:val="0"/>
          <w:marBottom w:val="0"/>
          <w:divBdr>
            <w:top w:val="none" w:sz="0" w:space="0" w:color="auto"/>
            <w:left w:val="none" w:sz="0" w:space="0" w:color="auto"/>
            <w:bottom w:val="none" w:sz="0" w:space="0" w:color="auto"/>
            <w:right w:val="none" w:sz="0" w:space="0" w:color="auto"/>
          </w:divBdr>
          <w:divsChild>
            <w:div w:id="116412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ydsnbrgq3tiltqmfyc4mrwgyztinbqgq" TargetMode="External"/><Relationship Id="rId13" Type="http://schemas.openxmlformats.org/officeDocument/2006/relationships/hyperlink" Target="https://sip.legalis.pl/document-view.seam?documentId=mfrxilrtgmydsnbrgq3tiltqmfyc4mrwgyztinbqgq" TargetMode="External"/><Relationship Id="rId18" Type="http://schemas.openxmlformats.org/officeDocument/2006/relationships/hyperlink" Target="https://sip.legalis.pl/document-view.seam?documentId=mfrxilrsg42tombsge4tgltqmfyc4mrwgyzdmnzxgm" TargetMode="External"/><Relationship Id="rId26" Type="http://schemas.openxmlformats.org/officeDocument/2006/relationships/hyperlink" Target="https://sip.legalis.pl/document-view.seam?documentId=mfrxilrtgmydsnbrgq3tiltqmfyc4mrwgyztinbqgq"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ip.legalis.pl/document-view.seam?documentId=mfrxilrsgi3teoboobqxalrvgy3a" TargetMode="External"/><Relationship Id="rId34" Type="http://schemas.openxmlformats.org/officeDocument/2006/relationships/hyperlink" Target="https://sip.legalis.pl/document-view.seam?documentId=mfrxilrsg42tombsge4tgltqmfyc4mrwgyzdmmbqga" TargetMode="External"/><Relationship Id="rId7" Type="http://schemas.openxmlformats.org/officeDocument/2006/relationships/hyperlink" Target="https://sip.legalis.pl/document-view.seam?documentId=mfrxilrtgmydsnbrgq3tiltqmfyc4mrwgyztinbqgq" TargetMode="External"/><Relationship Id="rId12" Type="http://schemas.openxmlformats.org/officeDocument/2006/relationships/hyperlink" Target="https://sip.legalis.pl/document-view.seam?documentId=mfrxilrtgmydsnbrgq3tiltqmfyc4mrwgyztinbwge" TargetMode="External"/><Relationship Id="rId17" Type="http://schemas.openxmlformats.org/officeDocument/2006/relationships/hyperlink" Target="https://sip.legalis.pl/document-view.seam?documentId=mfrxilrsg42tombsge4tgltqmfyc4mrwgyzdmnjxgu" TargetMode="External"/><Relationship Id="rId25" Type="http://schemas.openxmlformats.org/officeDocument/2006/relationships/hyperlink" Target="https://sip.legalis.pl/document-view.seam?documentId=mfrxilrtgmydsnbrgq3tiltqmfyc4mrwgyztinzxge" TargetMode="External"/><Relationship Id="rId33" Type="http://schemas.openxmlformats.org/officeDocument/2006/relationships/hyperlink" Target="https://sip.legalis.pl/document-view.seam?documentId=mfrxilrsg42tombsge4tgltqmfyc4mrwgyzdmojsge" TargetMode="External"/><Relationship Id="rId38" Type="http://schemas.openxmlformats.org/officeDocument/2006/relationships/hyperlink" Target="https://sip.legalis.pl/document-view.seam?documentId=mfrxilrsgu2tmmjzgm4dk" TargetMode="External"/><Relationship Id="rId2" Type="http://schemas.openxmlformats.org/officeDocument/2006/relationships/styles" Target="styles.xml"/><Relationship Id="rId16" Type="http://schemas.openxmlformats.org/officeDocument/2006/relationships/hyperlink" Target="https://sip.legalis.pl/document-view.seam?documentId=mfrxilrtgmydsnbrgq3tiltqmfyc4mrwgyztinbqgq" TargetMode="External"/><Relationship Id="rId20" Type="http://schemas.openxmlformats.org/officeDocument/2006/relationships/hyperlink" Target="https://sip.legalis.pl/document-view.seam?documentId=mfrxilrtgmydsnbrgq3tiltqmfyc4mrwgyztgnzwhe" TargetMode="External"/><Relationship Id="rId29" Type="http://schemas.openxmlformats.org/officeDocument/2006/relationships/hyperlink" Target="https://sip.legalis.pl/document-view.seam?documentId=mfrxilrsg42tombsge4tgltqmfyc4mrwgyzdmnjxgu" TargetMode="External"/><Relationship Id="rId1" Type="http://schemas.openxmlformats.org/officeDocument/2006/relationships/numbering" Target="numbering.xml"/><Relationship Id="rId6" Type="http://schemas.openxmlformats.org/officeDocument/2006/relationships/hyperlink" Target="https://sip.legalis.pl/document-view.seam?documentId=mfrxilrtgmydsnbrgq3tiltqmfyc4mrwgyztgnzwhe" TargetMode="External"/><Relationship Id="rId11" Type="http://schemas.openxmlformats.org/officeDocument/2006/relationships/hyperlink" Target="https://sip.legalis.pl/document-view.seam?documentId=mfrxilrtgmydsnbrgq3tiltqmfyc4mrwgyztinbwge" TargetMode="External"/><Relationship Id="rId24" Type="http://schemas.openxmlformats.org/officeDocument/2006/relationships/hyperlink" Target="https://sip.legalis.pl/document-view.seam?documentId=mfrxilrsgyydmnjxg44dcltqmfyc4mrvgiytgojyga" TargetMode="External"/><Relationship Id="rId32" Type="http://schemas.openxmlformats.org/officeDocument/2006/relationships/hyperlink" Target="https://sip.legalis.pl/document-view.seam?documentId=mfrxilrsg42tombsge4tgltqmfyc4mrwgyzdmnjxgu" TargetMode="External"/><Relationship Id="rId37" Type="http://schemas.openxmlformats.org/officeDocument/2006/relationships/hyperlink" Target="https://sip.legalis.pl/document-view.seam?documentId=mfrxilrsgu2tmmjzgm4dkltqmfyc4mrtg4ydaojrgy" TargetMode="External"/><Relationship Id="rId40" Type="http://schemas.openxmlformats.org/officeDocument/2006/relationships/theme" Target="theme/theme1.xml"/><Relationship Id="rId5" Type="http://schemas.openxmlformats.org/officeDocument/2006/relationships/hyperlink" Target="https://sip.legalis.pl/document-view.seam?documentId=mfrxilrtgmydsnbrgq3tiltqmfyc4mrwgyztinzugq" TargetMode="External"/><Relationship Id="rId15" Type="http://schemas.openxmlformats.org/officeDocument/2006/relationships/hyperlink" Target="https://sip.legalis.pl/document-view.seam?documentId=mfrxilrtgmydsnbrgq3tiltqmfyc4mrwgyztinbqgq" TargetMode="External"/><Relationship Id="rId23" Type="http://schemas.openxmlformats.org/officeDocument/2006/relationships/hyperlink" Target="https://sip.legalis.pl/document-view.seam?documentId=mfrxilrtgmydsnbrgq3tiltqmfyc4mrwgyztinzxge" TargetMode="External"/><Relationship Id="rId28" Type="http://schemas.openxmlformats.org/officeDocument/2006/relationships/hyperlink" Target="https://sip.legalis.pl/document-view.seam?documentId=mfrxilrsg42tombsge4tgltqmfyc4mrwgyzdmnrxga" TargetMode="External"/><Relationship Id="rId36" Type="http://schemas.openxmlformats.org/officeDocument/2006/relationships/hyperlink" Target="https://sip.legalis.pl/document-view.seam?documentId=mfrxilrsgu2tmmjzgm4dkltqmfyc4mrtg4ydaobrgq" TargetMode="External"/><Relationship Id="rId10" Type="http://schemas.openxmlformats.org/officeDocument/2006/relationships/hyperlink" Target="https://sip.legalis.pl/document-view.seam?documentId=mfrxilrtgmydsnbrgq3tiltqmfyc4mrwgyztinbwge" TargetMode="External"/><Relationship Id="rId19" Type="http://schemas.openxmlformats.org/officeDocument/2006/relationships/hyperlink" Target="https://sip.legalis.pl/document-view.seam?documentId=mfrxilrtgmydsnbrgq3tiltqmfyc4mrwgyztinzugq" TargetMode="External"/><Relationship Id="rId31" Type="http://schemas.openxmlformats.org/officeDocument/2006/relationships/hyperlink" Target="https://sip.legalis.pl/document-view.seam?documentId=mfrxilrsg42tombsge4tgltqmfyc4mrwgyzdmnjxgq"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tgmydsnbrgq3tiltqmfyc4mrwgyztinbwge" TargetMode="External"/><Relationship Id="rId14" Type="http://schemas.openxmlformats.org/officeDocument/2006/relationships/hyperlink" Target="https://sip.legalis.pl/document-view.seam?documentId=mfrxilrtgmydsnbrgq3tiltqmfyc4mrwgyztinbvg4" TargetMode="External"/><Relationship Id="rId22" Type="http://schemas.openxmlformats.org/officeDocument/2006/relationships/hyperlink" Target="https://sip.legalis.pl/document-view.seam?documentId=mfrxilrsgi3teoboobqxalrvgy3a" TargetMode="External"/><Relationship Id="rId27" Type="http://schemas.openxmlformats.org/officeDocument/2006/relationships/hyperlink" Target="https://sip.legalis.pl/document-view.seam?documentId=mfrxilrsg42tombsge4tgltqmfyc4mrwgyzdmnrqga" TargetMode="External"/><Relationship Id="rId30" Type="http://schemas.openxmlformats.org/officeDocument/2006/relationships/hyperlink" Target="https://sip.legalis.pl/document-view.seam?documentId=mfrxilrsg42tombsge4tgltqmfyc4mrwgyzdmnzxgm" TargetMode="External"/><Relationship Id="rId35" Type="http://schemas.openxmlformats.org/officeDocument/2006/relationships/hyperlink" Target="https://sip.legalis.pl/document-view.seam?documentId=mfrxilrsg42tombsge4tgltqmfyc4mrwgyzdmojug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8134</Words>
  <Characters>48807</Characters>
  <Application>Microsoft Office Word</Application>
  <DocSecurity>0</DocSecurity>
  <Lines>406</Lines>
  <Paragraphs>113</Paragraphs>
  <ScaleCrop>false</ScaleCrop>
  <Company/>
  <LinksUpToDate>false</LinksUpToDate>
  <CharactersWithSpaces>56828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1</cp:revision>
  <dcterms:created xsi:type="dcterms:W3CDTF">2017-03-31T21:44:00Z</dcterms:created>
  <dcterms:modified xsi:type="dcterms:W3CDTF">2017-03-31T21:45:00Z</dcterms:modified>
</cp:coreProperties>
</file>