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Służby, instytucje, straże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2"/>
                <w:lang w:val="pl-PL" w:eastAsia="pl-PL" w:bidi="ar-SA"/>
              </w:rPr>
              <w:t>Services, institutions, guards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 / Bezpieczeństwo społeczne i zarządzanie kryzysowe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bezpieczeństwie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Stanisław Dubaj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zajęć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4"/>
        <w:gridCol w:w="6977"/>
      </w:tblGrid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 xml:space="preserve">Studenci winni dysponować ogólną wiedzą z zakresu teorii państwa i prawa oraz orientować się w bieżącej problematyce bezpieczeństwa państwa </w:t>
              <w:br/>
              <w:t>i w relacjach międzynarodowych.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Zapoznanie studentów z problematyką funkcjonowania instytucji zaangażowanych w ochronę bezpieczeństwa i porządku publicznego w Polsce (na poziomie centralnym, regionalnym </w:t>
              <w:br/>
              <w:t xml:space="preserve">i lokalnym).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Poznanie i przyswojenie niezbędnej wiedzy związanej z zadaniami polskich służb w tym zakresie w kontekście integracji ze strukturami Unii Europejskiej i NATO.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Umotywowanie studentów do podjęcia starań w zakresie możliwości odnalezienia się na lokalnym rynku pracy – absolwenci tej specjalności jako potencjalni kandydaci do służb mundurowych (instytucji odpowiadających za  bezpieczeństwo wewnętrzne i porządek publiczny).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 xml:space="preserve">Profesjonalna znajomość przedmiotowej problematyki przez studentów, ma również działanie prewencyjne w zakresie bezpieczeństwa i porządku publicznego w regionie. </w:t>
            </w:r>
          </w:p>
        </w:tc>
      </w:tr>
    </w:tbl>
    <w:p>
      <w:pPr>
        <w:pStyle w:val="Normal"/>
        <w:tabs>
          <w:tab w:val="clear" w:pos="708"/>
          <w:tab w:val="left" w:pos="2940" w:leader="none"/>
        </w:tabs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5953"/>
        <w:gridCol w:w="2159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  <w:t>Absolwent zna i rozumie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istotę oraz uwarunkowania bezpieczeństwa państwa zarówno w skali lokalnej, ogólnopaństwowej, jak i międzynarodowej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posiada wiedzę na temat bezpieczeństwa globalnego, systemów bezpieczeństwa państw, a także bezpieczeństwa wewnętrznego i zewnętrznego Unii Europejskiej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K_W05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wykorzystywać zdobytą wiedzę teoretyczną do analizowania, diagnozowania, wyjaśniania oraz prognozowania kwestii szczegółowych odnoszących się do bezpieczeństwa narodowego</w:t>
            </w:r>
          </w:p>
        </w:tc>
        <w:tc>
          <w:tcPr>
            <w:tcW w:w="21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K_U01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budować strategie działań dotyczących bezpieczeństwa narodowego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K_U02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przygotować wypowiedzi w języku polskim dotyczące nauk społecznych, wykorzystując wybrane teorie i różnorodne źródła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K_U06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pozyskiwać, przechowywać oraz przetwarzać informacje z wykorzystaniem nowoczesnych technologii informacyjnych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K_U07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U_05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planować, organizować pracę zespołu i współpracować w grupie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K_U08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U_06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samodzielnie zdobywać i doskonalić wiedzę i umiejętności związane z dziedziną nauk społecznych oraz rozumie potrzebę stałego dokształcania się i podnoszenia własnych kwalifikacji zawodowych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K_U09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jest gotów do przestrzegania zasad etyki zawodowej oraz ich stosowania w działaniach mających na celu zapewnienie najwyższych standardów bezpieczeństwa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NoSpacing"/>
        <w:rPr>
          <w:rFonts w:cs="Arial"/>
          <w:lang w:eastAsia="pl-PL"/>
        </w:rPr>
      </w:pPr>
      <w:r>
        <w:rPr>
          <w:rFonts w:cs="Arial"/>
          <w:lang w:eastAsia="pl-PL"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1. Bezpieczeństwo i porządek publiczny - istota i uwarunkowania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2. Analiza problematyki ogólnej z zakresu uwarunkowań i istoty 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bezpieczeństwa  i porządku publicznego we współczesnym świecie – wpływ tej tematyki na bezpieczeństwo lokalne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3. Instytucje bezpieczeństwa narodowego RP na poziomie centralnym, regionalnym, lokalnym – ogólna charakterystyka wyspecjalizowanych służb i ich usytuowanie w aparacie państwowym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4. Siły Zbrojne RP w systemie bezpieczeństwa RP – zapoznanie z problematyką ich funkcjonowania </w:t>
              <w:br/>
              <w:t>i analiza działalności obronnej RP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5. </w:t>
            </w: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Formacje policyjne i zabezpieczające na przykładzie działania Policji, Straży Granicznej, Państwowej Straży Pożarnej, Służby Celno-Skarbowej, Inspekcji Transportu Drogowego, Służby Więziennej.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6.</w:t>
            </w: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 Studium przypadku – działalność Centralnego Biura Śledczego Policji (CBŚP) i Centralnego Pododdziału  Kontrterrorystycznego Policji (BOA) jako wyspecjalizowanych jednostek Policji </w:t>
              <w:br/>
              <w:t xml:space="preserve">do zadań specjalnych.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color w:val="000000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7. Krajowy System Ratowniczo – Gaśniczy i podmioty zaangażowane w jego funkcjonowanie.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8. Współdziałanie instytucji, służb i straży odpowiedzialnych za bezpieczeństwo i porządek publiczny ze </w:t>
            </w: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służbami  specjalnymi. 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bCs/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9. </w:t>
            </w: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Straże lokalne i sektorowe w systemie instytucji bezpieczeństwa wewnętrznego RP na przykładzie działalności wybranych regionalnie: Straży Miejskiej, Straży Leśnej, Państwowej Straży Rybackiej, Państwowej Straży Łowieckiej, Straży Parku Narodowego.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10. Problematyka działalności Służby Ochrony Państwa, Straży Marszałkowskiej, Straży Trybunału Konstytucyjnego, Oddziału Specjalnego Żandarmerii Wojskowej i Policji sądowej  - jako przykłady funkcjonowania służb ochrony władz.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11. „</w:t>
            </w: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Stop korupcji” – realizacja strategii antykorupcyjnej w instytucjach państwowych </w:t>
              <w:br/>
              <w:t>(ze szczególnym uwzględnieniem instytucji bezpieczeństwa i porządku publicznego).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12.</w:t>
            </w:r>
            <w:r>
              <w:rPr>
                <w:rFonts w:cs="Calibri" w:cstheme="min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Rola współpracy międzynarodowej w zakresie zapewnienia bezpieczeństwa wewnętrznego na przykładzie funkcjonowania instytucji Pełnomocnika Granicznego Rzeczypospolitej Polskiej ze szczególnym uwzględnieniem aspektów bezpieczeństwa województwa lubelskiego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35"/>
        <w:gridCol w:w="2820"/>
        <w:gridCol w:w="2227"/>
        <w:gridCol w:w="2479"/>
      </w:tblGrid>
      <w:tr>
        <w:trPr/>
        <w:tc>
          <w:tcPr>
            <w:tcW w:w="15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8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2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4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konwersatoryjny, wykład problemowy, studium przypadku, dyskusja</w:t>
            </w:r>
          </w:p>
        </w:tc>
        <w:tc>
          <w:tcPr>
            <w:tcW w:w="2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z tekstem,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konwersatoryjny, wykład problemowy, studium przypadku, dyskusja</w:t>
            </w:r>
          </w:p>
        </w:tc>
        <w:tc>
          <w:tcPr>
            <w:tcW w:w="2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studium przypadku,  praca w grupach</w:t>
            </w:r>
          </w:p>
        </w:tc>
        <w:tc>
          <w:tcPr>
            <w:tcW w:w="2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studium przypadku,  praca w grupach</w:t>
            </w:r>
          </w:p>
        </w:tc>
        <w:tc>
          <w:tcPr>
            <w:tcW w:w="2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studium przypadku,  praca w grupach</w:t>
            </w:r>
          </w:p>
        </w:tc>
        <w:tc>
          <w:tcPr>
            <w:tcW w:w="2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2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studium przypadku,  praca w grupach</w:t>
            </w:r>
          </w:p>
        </w:tc>
        <w:tc>
          <w:tcPr>
            <w:tcW w:w="2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U_05</w:t>
            </w:r>
          </w:p>
        </w:tc>
        <w:tc>
          <w:tcPr>
            <w:tcW w:w="2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studium przypadku,  praca w grupach</w:t>
            </w:r>
          </w:p>
        </w:tc>
        <w:tc>
          <w:tcPr>
            <w:tcW w:w="2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U_06</w:t>
            </w:r>
          </w:p>
        </w:tc>
        <w:tc>
          <w:tcPr>
            <w:tcW w:w="2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studium przypadku,  praca w grupach</w:t>
            </w:r>
          </w:p>
        </w:tc>
        <w:tc>
          <w:tcPr>
            <w:tcW w:w="2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w grupach w różnych rolach</w:t>
            </w:r>
          </w:p>
        </w:tc>
        <w:tc>
          <w:tcPr>
            <w:tcW w:w="2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rPr>
          <w:b/>
          <w:b/>
        </w:rPr>
      </w:pPr>
      <w:r>
        <w:rPr>
          <w:b/>
        </w:rPr>
        <w:t xml:space="preserve">Metody (sposoby) oceny: </w:t>
      </w:r>
      <w:r>
        <w:rPr>
          <w:color w:val="000000"/>
          <w:spacing w:val="-2"/>
        </w:rPr>
        <w:t xml:space="preserve">  ocenianie ciągłe (bieżące przygotowanie do zajęć) praca semestralna, projekt, kontrola obecności</w:t>
      </w:r>
    </w:p>
    <w:p>
      <w:pPr>
        <w:pStyle w:val="Normal"/>
        <w:rPr/>
      </w:pPr>
      <w:r>
        <w:rPr>
          <w:b/>
          <w:color w:val="FF0000"/>
        </w:rPr>
        <w:t xml:space="preserve"> </w:t>
      </w:r>
      <w:r>
        <w:rPr>
          <w:b/>
        </w:rPr>
        <w:t xml:space="preserve">Typ oceny: </w:t>
      </w:r>
      <w:r>
        <w:rPr/>
        <w:t>formująca, podsumowująca</w:t>
      </w:r>
    </w:p>
    <w:p>
      <w:pPr>
        <w:pStyle w:val="Normal"/>
        <w:rPr>
          <w:color w:val="000000"/>
          <w:spacing w:val="-2"/>
        </w:rPr>
      </w:pPr>
      <w:r>
        <w:rPr>
          <w:b/>
        </w:rPr>
        <w:t>Forma dokumentacji:</w:t>
      </w:r>
      <w:r>
        <w:rPr/>
        <w:t xml:space="preserve"> </w:t>
      </w:r>
      <w:r>
        <w:rPr>
          <w:color w:val="000000"/>
          <w:spacing w:val="-2"/>
        </w:rPr>
        <w:t>punkty za przygotowanie projektu, referatu, prezentacji; lista obecności</w:t>
      </w:r>
    </w:p>
    <w:p>
      <w:pPr>
        <w:pStyle w:val="Normal"/>
        <w:spacing w:lineRule="auto" w:line="240" w:before="0" w:after="0"/>
        <w:jc w:val="both"/>
        <w:rPr>
          <w:b/>
          <w:b/>
          <w:color w:val="FF0000"/>
        </w:rPr>
      </w:pPr>
      <w:r>
        <w:rPr>
          <w:rFonts w:cs="Calibri" w:cstheme="minorHAnsi"/>
          <w:b/>
        </w:rPr>
        <w:t xml:space="preserve">Zaliczenie przedmiotu na ocenę: </w:t>
      </w:r>
      <w:r>
        <w:rPr>
          <w:rFonts w:cs="Calibri" w:cstheme="minorHAnsi"/>
        </w:rPr>
        <w:t xml:space="preserve">obecność na zajęciach, aktywność w dyskusjach, czytanie </w:t>
        <w:br/>
        <w:t xml:space="preserve">i znajomość literatury </w:t>
      </w:r>
      <w:r>
        <w:rPr>
          <w:rFonts w:eastAsia="Times New Roman" w:cs="Calibri" w:cstheme="minorHAnsi"/>
          <w:i/>
          <w:lang w:eastAsia="pl-PL"/>
        </w:rPr>
        <w:t xml:space="preserve">(odnotować należy, że zajęcia prowadzi doświadczony oficer (pułkownik rezerwy) Straży Granicznej) realizujący zajęcia dydaktyczne na wyższych uczelniach w Polsce </w:t>
        <w:br/>
        <w:t>od 1999r.)</w:t>
      </w:r>
      <w:r>
        <w:rPr>
          <w:b/>
          <w:color w:val="FF000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ind w:left="284" w:hanging="284"/>
              <w:contextualSpacing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i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 xml:space="preserve">Misiuk A., </w:t>
            </w:r>
            <w:r>
              <w:rPr>
                <w:rFonts w:eastAsia="Calibri"/>
                <w:i/>
                <w:kern w:val="0"/>
                <w:sz w:val="22"/>
                <w:szCs w:val="22"/>
                <w:lang w:val="pl-PL" w:eastAsia="en-US" w:bidi="ar-SA"/>
              </w:rPr>
              <w:t>Administracja porządku i bezpieczeństwa publicznego. Zagadnienia prawno-ustrojowe,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 xml:space="preserve"> Warszawa 2008.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ind w:left="284" w:hanging="284"/>
              <w:contextualSpacing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 xml:space="preserve">Dobkowski J., </w:t>
            </w:r>
            <w:r>
              <w:rPr>
                <w:rFonts w:eastAsia="Calibri"/>
                <w:i/>
                <w:kern w:val="0"/>
                <w:sz w:val="22"/>
                <w:szCs w:val="22"/>
                <w:lang w:val="pl-PL" w:eastAsia="en-US" w:bidi="ar-SA"/>
              </w:rPr>
              <w:t>Pozycja prawnoustrojowa służb, inspekcji i straży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, Warszawa 2007.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ind w:left="284" w:hanging="284"/>
              <w:contextualSpacing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 xml:space="preserve">Paździor M., Szmulik B., (red.), </w:t>
            </w:r>
            <w:r>
              <w:rPr>
                <w:rFonts w:eastAsia="Calibri"/>
                <w:i/>
                <w:kern w:val="0"/>
                <w:sz w:val="22"/>
                <w:szCs w:val="22"/>
                <w:lang w:val="pl-PL" w:eastAsia="en-US" w:bidi="ar-SA"/>
              </w:rPr>
              <w:t>Instytucje bezpieczeństwa narodowego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, Warszawa 2012.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lang w:val="pl-PL" w:eastAsia="en-US" w:bidi="ar-SA"/>
              </w:rPr>
              <w:t xml:space="preserve">Sprengel B., </w:t>
            </w:r>
            <w:r>
              <w:rPr>
                <w:rFonts w:eastAsia="Calibri" w:cs=""/>
                <w:i/>
                <w:kern w:val="0"/>
                <w:lang w:val="pl-PL" w:eastAsia="en-US" w:bidi="ar-SA"/>
              </w:rPr>
              <w:t>Służby mundurowe ochrony bezpieczeństwa wewnętrznego. Zarys problematyki</w:t>
            </w:r>
            <w:r>
              <w:rPr>
                <w:rFonts w:eastAsia="Calibri" w:cs=""/>
                <w:kern w:val="0"/>
                <w:lang w:val="pl-PL" w:eastAsia="en-US" w:bidi="ar-SA"/>
              </w:rPr>
              <w:t>, Toruń 2008.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Dominiak M., Dubaj S., </w:t>
            </w:r>
            <w:r>
              <w:rPr>
                <w:rFonts w:eastAsia="Calibri" w:cs="Calibri" w:cstheme="minorHAnsi"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  <w:t xml:space="preserve">Nadbużański Oddział Straży Granicznej – współdziałanie z organami ochrony granic państwowych Ukrainy i Białorusi w kontekście przystąpienia Polski do Unii Europejskiej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[w:] </w:t>
            </w:r>
            <w:r>
              <w:rPr>
                <w:rFonts w:eastAsia="Calibri" w:cs="Calibri" w:cstheme="minorHAnsi"/>
                <w:bCs/>
                <w:i/>
                <w:kern w:val="0"/>
                <w:sz w:val="22"/>
                <w:szCs w:val="22"/>
                <w:lang w:val="pl-PL" w:eastAsia="en-US" w:bidi="ar-SA"/>
              </w:rPr>
              <w:t>Bezpieczeństwo bez granic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, red.,</w:t>
            </w:r>
            <w:r>
              <w:rPr>
                <w:rFonts w:eastAsia="Calibri" w:cs="Calibri" w:cstheme="minorHAnsi"/>
                <w:bCs/>
                <w:i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Ziółkowski J., Wyższa Szkoła Przedsiębiorczości i Administracji, Lublin 2004, s. 84-99.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Dominiak M., Dubaj S.,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 xml:space="preserve">Przestępczość graniczna zagrożeniem bezpieczeństwa i porządku publicznego – wybrane aspekty praktyczne na przykładzie Nadbużańskiego Oddziału Straży Granicznej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[w:]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Otwarcie granic rynku a perspektywa BYĆ I MIEĆ człowieka oraz narodu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red. Kuś A., Witkowski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P.,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KUL Lublin 2006.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Dubaj, S.,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Straż Graniczna – przystosowanie struktur organizacyjnych i zadań tej formacji po zniesieniu kontroli na granicach wewnętrznych Unii Europejskiej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[w:]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Polska w strefie Schengen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red. A.W. Bednaruk, M. Bielecki, G. Kowalski,  KUL Lublin 2010.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Dubaj S., Dominiak M.,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Organizacja obrony narodowej w sytuacji kryzysu i zagrożenia bezpieczeństwa państwa. Zadania Straży Granicznej w tym zakresie na przykładzie praktycznych działań realizowanych przez Nadbużański Oddział Straży Granicznej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 Warszawa AON, 2004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5</w:t>
            </w:r>
            <w:r>
              <w:rPr>
                <w:rFonts w:eastAsia="Calibri" w:cs="Calibri" w:cstheme="minorHAnsi"/>
                <w:bCs/>
                <w:i/>
                <w:kern w:val="0"/>
                <w:sz w:val="22"/>
                <w:szCs w:val="22"/>
                <w:lang w:val="pl-PL" w:eastAsia="en-US" w:bidi="ar-SA"/>
              </w:rPr>
              <w:t xml:space="preserve">.   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Pieprzny S., </w:t>
            </w:r>
            <w:r>
              <w:rPr>
                <w:rFonts w:eastAsia="Calibri" w:cs="Calibri" w:cstheme="minorHAnsi"/>
                <w:bCs/>
                <w:i/>
                <w:kern w:val="0"/>
                <w:sz w:val="22"/>
                <w:szCs w:val="22"/>
                <w:lang w:val="pl-PL" w:eastAsia="en-US" w:bidi="ar-SA"/>
              </w:rPr>
              <w:t>Policja. Organizacja i funkcjonowanie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, Warszawa 2007.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6.   </w:t>
            </w:r>
            <w:r>
              <w:rPr>
                <w:rFonts w:eastAsia="Calibri" w:cs="Calibri" w:cstheme="minorHAnsi"/>
                <w:bCs/>
                <w:i/>
                <w:kern w:val="0"/>
                <w:sz w:val="22"/>
                <w:szCs w:val="22"/>
                <w:lang w:val="pl-PL" w:eastAsia="en-US" w:bidi="ar-SA"/>
              </w:rPr>
              <w:t>Zarządzanie bezpieczeństwem na poziomie lokalnym,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 red., Gąska M., Zamość 2010.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Ogólnodostępne wydawnictwa periodyczne - „Biuletyn Straży Granicznej”, „Magazyn 997”, „Służba Celna” 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color w:val="00000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Zasób informacji w portalu Unii Europejskiej </w:t>
            </w:r>
            <w:hyperlink r:id="rId2">
              <w:r>
                <w:rPr>
                  <w:rStyle w:val="Czeinternetowe"/>
                  <w:rFonts w:eastAsia="Calibri" w:cs="Calibri" w:cstheme="minorHAnsi"/>
                  <w:color w:val="000000"/>
                  <w:kern w:val="0"/>
                  <w:sz w:val="22"/>
                  <w:szCs w:val="22"/>
                  <w:u w:val="none"/>
                  <w:lang w:val="pl-PL" w:eastAsia="en-US" w:bidi="ar-SA"/>
                </w:rPr>
                <w:t>www.europa.eu.int</w:t>
              </w:r>
            </w:hyperlink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 oraz instytucji krajowych Ministerstwa Obrony Narodowej -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www.mon.gov,pl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; Ministerstwa Spraw Wewnętrznych i Administracji -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www.mswia.gov.pl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; Ministerstwa Finansów - </w:t>
            </w:r>
            <w:hyperlink r:id="rId3">
              <w:r>
                <w:rPr>
                  <w:rStyle w:val="Czeinternetowe"/>
                  <w:rFonts w:eastAsia="Calibri" w:cs="Calibri" w:cstheme="minorHAnsi"/>
                  <w:color w:val="000000"/>
                  <w:kern w:val="0"/>
                  <w:sz w:val="22"/>
                  <w:szCs w:val="22"/>
                  <w:u w:val="none"/>
                  <w:lang w:val="pl-PL" w:eastAsia="en-US" w:bidi="ar-SA"/>
                </w:rPr>
                <w:t>www.mf.gov.pl</w:t>
              </w:r>
            </w:hyperlink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; Służby Więziennej – www.sw.gov.pl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  i innych formacji, podawanych na bieżąco przez prowadzącego zajęcia.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bCs/>
                <w:iCs/>
                <w:color w:val="000000"/>
              </w:rPr>
            </w:pPr>
            <w:r>
              <w:rPr>
                <w:rFonts w:eastAsia="Calibri" w:cs="Calibri" w:cstheme="minorHAnsi"/>
                <w:bCs/>
                <w:iCs/>
                <w:color w:val="000000"/>
                <w:kern w:val="0"/>
                <w:sz w:val="22"/>
                <w:szCs w:val="22"/>
                <w:lang w:val="pl-PL" w:eastAsia="en-US" w:bidi="ar-SA"/>
              </w:rPr>
              <w:t>Publikacje dostępne w Bibliotece KUL oraz w bibliotece działającego przy KUL – Instytutu na Rzecz Państwa Prawa (Lublin, ul.Chopina 14), którego prowadzący zajęcia jest aktywnym członkiem.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bCs/>
                <w:color w:val="000000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Akty prawne dostępne m.in. na stronie internetowej http://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isap.sejm.gov.pl</w:t>
            </w: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, </w:t>
            </w:r>
            <w:hyperlink r:id="rId4">
              <w:r>
                <w:rPr>
                  <w:rStyle w:val="Czeinternetowe"/>
                  <w:rFonts w:eastAsia="Calibri" w:cs="Calibri" w:cstheme="minorHAnsi"/>
                  <w:bCs/>
                  <w:color w:val="000000"/>
                  <w:kern w:val="0"/>
                  <w:sz w:val="22"/>
                  <w:szCs w:val="22"/>
                  <w:u w:val="none"/>
                  <w:lang w:val="pl-PL" w:eastAsia="en-US" w:bidi="ar-SA"/>
                </w:rPr>
                <w:t>www.rcl.gov.pl</w:t>
              </w:r>
            </w:hyperlink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u w:val="single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Dostęp do aktów prawnych Unii Europejskiej,m.in. </w:t>
            </w:r>
            <w:hyperlink r:id="rId5">
              <w:r>
                <w:rPr>
                  <w:rStyle w:val="Czeinternetowe"/>
                  <w:rFonts w:eastAsia="Calibri" w:cs="Calibri" w:cstheme="minorHAnsi"/>
                  <w:bCs/>
                  <w:color w:val="000000"/>
                  <w:kern w:val="0"/>
                  <w:sz w:val="22"/>
                  <w:szCs w:val="22"/>
                  <w:u w:val="none"/>
                  <w:lang w:val="pl-PL" w:eastAsia="en-US" w:bidi="ar-SA"/>
                </w:rPr>
                <w:t>http://eur-lex.europa.eu</w:t>
              </w:r>
            </w:hyperlink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6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 xml:space="preserve"> 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0d3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semiHidden/>
    <w:qFormat/>
    <w:rsid w:val="00be0031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FootnoteCharacters" w:customStyle="1">
    <w:name w:val="Footnote Characters"/>
    <w:uiPriority w:val="99"/>
    <w:qFormat/>
    <w:rsid w:val="00146ff5"/>
    <w:rPr>
      <w:rFonts w:cs="Times New Roman"/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146ff5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TekstpodstawowyZnak" w:customStyle="1">
    <w:name w:val="Tekst podstawowy Znak"/>
    <w:basedOn w:val="DefaultParagraphFont"/>
    <w:link w:val="Tekstpodstawowy"/>
    <w:qFormat/>
    <w:rsid w:val="008b162c"/>
    <w:rPr>
      <w:rFonts w:ascii="Arial" w:hAnsi="Arial" w:eastAsia="Times New Roman" w:cs="Arial"/>
      <w:sz w:val="28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8b162c"/>
    <w:pPr>
      <w:spacing w:lineRule="auto" w:line="192" w:before="0" w:after="0"/>
    </w:pPr>
    <w:rPr>
      <w:rFonts w:ascii="Arial" w:hAnsi="Arial" w:eastAsia="Times New Roman" w:cs="Arial"/>
      <w:sz w:val="28"/>
      <w:szCs w:val="20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19f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be003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Przypisdolny">
    <w:name w:val="Footnote Text"/>
    <w:basedOn w:val="Normal"/>
    <w:link w:val="TekstprzypisudolnegoZnak"/>
    <w:uiPriority w:val="99"/>
    <w:semiHidden/>
    <w:rsid w:val="00146ff5"/>
    <w:pPr>
      <w:widowControl w:val="false"/>
      <w:suppressLineNumbers/>
      <w:suppressAutoHyphens w:val="true"/>
      <w:overflowPunct w:val="true"/>
      <w:spacing w:lineRule="auto" w:line="240" w:before="0" w:after="0"/>
      <w:ind w:left="283" w:hanging="283"/>
      <w:textAlignment w:val="baseline"/>
    </w:pPr>
    <w:rPr>
      <w:rFonts w:ascii="Times New Roman" w:hAnsi="Times New Roman" w:eastAsia="Times New Roman" w:cs="Times New Roman"/>
      <w:kern w:val="2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uropa.eu.int/" TargetMode="External"/><Relationship Id="rId3" Type="http://schemas.openxmlformats.org/officeDocument/2006/relationships/hyperlink" Target="http://www.mf.gov.pl/" TargetMode="External"/><Relationship Id="rId4" Type="http://schemas.openxmlformats.org/officeDocument/2006/relationships/hyperlink" Target="http://www.rcl.gov.pl/" TargetMode="External"/><Relationship Id="rId5" Type="http://schemas.openxmlformats.org/officeDocument/2006/relationships/hyperlink" Target="http://eur-lex.europa.eu/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E9D24-005E-4B28-BD76-D804546D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LibreOffice/7.0.4.2$Windows_X86_64 LibreOffice_project/dcf040e67528d9187c66b2379df5ea4407429775</Application>
  <AppVersion>15.0000</AppVersion>
  <Pages>4</Pages>
  <Words>1156</Words>
  <Characters>8479</Characters>
  <CharactersWithSpaces>9516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2022-03-24T08:11:00Z</dcterms:created>
  <dc:creator>Anna Łukasiewicz</dc:creator>
  <dc:description/>
  <dc:language>pl-PL</dc:language>
  <cp:lastModifiedBy>STANISŁAW</cp:lastModifiedBy>
  <cp:lastPrinted>2019-01-23T11:10:00Z</cp:lastPrinted>
  <dcterms:modified xsi:type="dcterms:W3CDTF">2022-03-25T09:36:00Z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