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Współpraca transgraniczna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Cross-border cooperation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256"/>
        <w:gridCol w:w="2260"/>
        <w:gridCol w:w="2258"/>
      </w:tblGrid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4,6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Podstawowa wiedza z zakresu funkcjonowania administracji krajowej i UE i zarysu polityki rozszerzania UE.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C1 przedstawienie wiedzy dotyczącej </w:t>
            </w:r>
            <w:r>
              <w:rPr>
                <w:rStyle w:val="Fontstyle01"/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reguł, uwarunkowań i efektów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Style w:val="Fontstyle01"/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współpracy transgranicznej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C2 osiągnięcie kompetencji krytycznego myślenia w dyskusjach i analiza tekstu w obszarze współpracy transgranicznej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</w:t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26"/>
        <w:gridCol w:w="2143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8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Absolwent posiada wiedzę interdyscyplinarną z obszaru nauk społecznych, w tym szczególnie współpracy transgranicznej 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Absolwent rozumie istotę oraz uwarunkowania bezpieczeństwa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zarówno w skali społecznej,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ogólnopaństwowej, jak i międzynarodowej oraz ich przyczyn i skutków we wzajemnych relacjach transgranicznych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K_W02, 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Absolwent potrafi wykorzystywać zdobytą wiedzę teoretyczną dot. bezpieczeństwa narodowego oraz powiązanych z nim dziedzin wiedzy do analizowania i wyjaśniania kwestii szczegółowych odnoszących się do współpracy transgranicznej 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Absolwent potrafi </w:t>
            </w:r>
            <w:r>
              <w:rPr>
                <w:rStyle w:val="Fontstyle01"/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rozwiązywać konkretne problemy związane ze współpracą transgraniczną, prognozować działania oraz prawidłowo interpretować przepisy prawne w tym zakresie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K_U03, 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Style w:val="Fontstyle01"/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Absolwent jest gotów do przestrzegania zasad etyki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bidi="ar-SA"/>
              </w:rPr>
              <w:br/>
            </w:r>
            <w:r>
              <w:rPr>
                <w:rStyle w:val="Fontstyle01"/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zawodowej oraz ich stosowania</w:t>
            </w:r>
            <w:r>
              <w:rPr>
                <w:rStyle w:val="Fontstyle01"/>
                <w:kern w:val="0"/>
                <w:lang w:val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 praktyce związanej z działalnością społeczną, pracą w administracji czy w sferze gospodarczej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jest gotów do dokonania oceny i samooceny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wiedzy oraz umiejętności w zakresie współpracy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transgranicznej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Czym jest współpraca transgraniczna - definicja i podstawa prawna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Ruch graniczny jako podstawa współpracy transgranicznej – wymiar osobowy i towarowy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Początki współpracy transgranicznej w UE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Strefa Schengen – jako największe osiągnięcie współpracy transgranicznej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Współpraca transgraniczna jako przyspieszenie integracji europejskiej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PWBiS i rynek wewnętrzny – współzależności współpracy transgranicznej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Kodeks graniczny Schengen i Unijny kodeks celny jako konstytucje współpracy granicznej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Pomoc agencji UE we współpracy transgranicznej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- główna rola FRONTEX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Służby graniczne UE, Polski i Ukrainy jako przykłady dobrej współpracy transgranicznej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Mały ruch graniczny na przykładzie wschodniej zewnętrznej granicy UE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Euroregiony jako forma współpracy transgranicznej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Przykłady praktycznej współpracy w euroregionach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Współpraca transgraniczna w basenie Morza Bałtyckiego jako przykład współpracy morskiej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INTERREG jako forma współpracy transgranicznej z państwami trzecimi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V4 i Inicjatywa Trójmorza jako przykłady współpracy transgranicznej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Kształtowanie się  współpracy transgranicznej w warunkach pandemicznych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pl-PL" w:eastAsia="pl-PL" w:bidi="ar-SA"/>
              </w:rPr>
              <w:b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pisemne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pisemny 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pracy w grupie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Test jednokrotnego wyboru, w skład oceny będzie wchodzić również aktywność </w:t>
        <w:br/>
        <w:t xml:space="preserve">i obecności oraz przygotowanie prezentacji na temat euroregionów. Prezentacja ma być wykonana z zastosowaniem rzutnika multimedialnego.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Metodami pracy będzie też dyskusja, praca z tekstem źródłowym, praca w grupach mająca na celu dedukcyjne i indukcyjne wnioskowanie z wykorzystaniem danych empirycznych oraz analiza aktów prawnych.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Kryteria oceny: </w:t>
        <w:br/>
        <w:t>60% - 3</w:t>
        <w:br/>
        <w:t>65%- 3.5</w:t>
        <w:br/>
        <w:t>70 % - 4</w:t>
        <w:br/>
        <w:t>75 %- 4.5</w:t>
        <w:br/>
        <w:t>80 % - 5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30 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Literatura: </w:t>
              <w:br/>
              <w:t>1. P. Solarz, Współpraca transgraniczna jako czynnik procesu integracji europejskiej, Warszawa 2009.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pl-PL" w:eastAsia="pl-PL" w:bidi="ar-SA"/>
              </w:rPr>
              <w:t xml:space="preserve">G. Gorzelak, K. Krok, Nowe granice Unii Europejskiej - współpraca czy wykluczenie, Warszawa 2013.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pl-PL" w:eastAsia="pl-PL" w:bidi="ar-SA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T. Komornicki: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Przemiany funkcji granic europejskich w XX wieku.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W: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Problematyka geopolityczna Europy Środkowej i Wschodniej.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Red. J. Kitowski. Rzeszów 1999.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Cs/>
                <w:i/>
                <w:kern w:val="0"/>
                <w:sz w:val="24"/>
                <w:szCs w:val="24"/>
                <w:lang w:val="pl-PL" w:eastAsia="pl-PL" w:bidi="ar-SA"/>
              </w:rPr>
              <w:t>Informator o badaniach i opracowaniach dotyczących obszarów transgranicznych,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Główny Urząd Statystyczny (Statistics Poland), Urząd Statystyczny w Rzeszowie (Statistical Office in Rzeszów),Warszawa, Rzeszów 2020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Akty prawne: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br/>
              <w:t>1.Traktat o funkcjonowaniu Unii Europejskiej (TFUE)</w:t>
              <w:br/>
              <w:t>2. Traktat o Unii Europejskiej (TUE)</w:t>
              <w:br/>
              <w:t>3. Rozporządzenie Parlamentu Europejskiego i Rady (UE) 2016/399 z dnia 9 marca 2016 r. w sprawie unijnego kodeksu zasad regulujących przepływ osób przez granice (kodeks graniczny Schengen)Dz. U. L 77, 23.3.2016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4. Europejska Konwencja Ramowa o Współpracy transgranicznej ( Konwencja Madrycka).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5. Podstawy prawne euroregionów.</w:t>
            </w:r>
            <w:bookmarkStart w:id="0" w:name="_GoBack"/>
            <w:bookmarkEnd w:id="0"/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Dubaj S., Kuś A., Witkowski P., Zasady i ograniczenia w przepływie osób </w:t>
              <w:br/>
              <w:t>i towarów w Unii Europejskiej, Zamość 2008.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Maksimczuk A., Sidorowicz L., Graniczna obsługa ruchu osobowego i towarowego w Unii Europejskiej (wybrane aspekty), Warszawa 2008.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30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e301b"/>
    <w:rPr/>
  </w:style>
  <w:style w:type="character" w:styleId="Fontstyle01" w:customStyle="1">
    <w:name w:val="fontstyle01"/>
    <w:basedOn w:val="DefaultParagraphFont"/>
    <w:qFormat/>
    <w:rsid w:val="006e301b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Czeinternetowe">
    <w:name w:val="Łącze internetowe"/>
    <w:basedOn w:val="DefaultParagraphFont"/>
    <w:uiPriority w:val="99"/>
    <w:unhideWhenUsed/>
    <w:rsid w:val="00ed5208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301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e30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6e30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e30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LibreOffice/7.0.4.2$Windows_X86_64 LibreOffice_project/dcf040e67528d9187c66b2379df5ea4407429775</Application>
  <AppVersion>15.0000</AppVersion>
  <Pages>4</Pages>
  <Words>829</Words>
  <Characters>5685</Characters>
  <CharactersWithSpaces>6349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2022-03-28T08:26:00Z</dcterms:created>
  <dc:creator>Anna</dc:creator>
  <dc:description/>
  <dc:language>pl-PL</dc:language>
  <cp:lastModifiedBy/>
  <dcterms:modified xsi:type="dcterms:W3CDTF">2022-04-11T14:49:01Z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