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bookmarkStart w:id="0" w:name="_GoBack"/>
      <w:bookmarkEnd w:id="0"/>
      <w:r>
        <w:rPr>
          <w:b/>
        </w:rPr>
        <w:t>KARTA PRZEDMIOTU</w:t>
      </w:r>
    </w:p>
    <w:p>
      <w:pPr>
        <w:pStyle w:val="Standard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0"/>
        </w:numPr>
        <w:rPr/>
      </w:pPr>
      <w:r>
        <w:rPr>
          <w:b/>
        </w:rPr>
        <w:t>Dane podstawowe</w:t>
      </w:r>
    </w:p>
    <w:tbl>
      <w:tblPr>
        <w:tblW w:w="9211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05"/>
        <w:gridCol w:w="4605"/>
      </w:tblGrid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Nazwa przedmiotu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Współczesne systemy polityczne</w:t>
            </w:r>
          </w:p>
        </w:tc>
      </w:tr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Nazwa przedmiotu w języku angielskim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Contemporary Political Systems</w:t>
            </w:r>
          </w:p>
        </w:tc>
      </w:tr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Kierunek studiów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Stosunki Międzynarodowe</w:t>
            </w:r>
          </w:p>
        </w:tc>
      </w:tr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Poziom studiów (I, II, jednolite magisterskie)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I</w:t>
            </w:r>
          </w:p>
        </w:tc>
      </w:tr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Forma studiów (stacjonarne, niestacjonarne)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stacjonarne</w:t>
            </w:r>
          </w:p>
        </w:tc>
      </w:tr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Dyscyplina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Nauki o Polityce i Administracji</w:t>
            </w:r>
          </w:p>
        </w:tc>
      </w:tr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Język wykładowy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polski</w:t>
            </w:r>
          </w:p>
        </w:tc>
      </w:tr>
    </w:tbl>
    <w:p>
      <w:pPr>
        <w:pStyle w:val="Standard"/>
        <w:spacing w:before="0" w:after="0"/>
        <w:rPr/>
      </w:pPr>
      <w:r>
        <w:rPr/>
      </w:r>
    </w:p>
    <w:tbl>
      <w:tblPr>
        <w:tblW w:w="9211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05"/>
        <w:gridCol w:w="4605"/>
      </w:tblGrid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Koordynator przedmiotu/osoba odpowiedzialna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Dr Grzegorz Ronek</w:t>
            </w:r>
          </w:p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Standard"/>
        <w:spacing w:before="0" w:after="0"/>
        <w:rPr/>
      </w:pPr>
      <w:r>
        <w:rPr/>
      </w:r>
    </w:p>
    <w:tbl>
      <w:tblPr>
        <w:tblW w:w="9211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02"/>
        <w:gridCol w:w="2304"/>
        <w:gridCol w:w="2304"/>
        <w:gridCol w:w="2300"/>
      </w:tblGrid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/>
            </w:pPr>
            <w:r>
              <w:rPr/>
              <w:t xml:space="preserve">Forma zajęć </w:t>
            </w:r>
            <w:r>
              <w:rPr>
                <w:i/>
              </w:rPr>
              <w:t>(katalog zamknięty ze słownika)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/>
            </w:pPr>
            <w:r>
              <w:rPr/>
              <w:t>Liczba godzin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/>
            </w:pPr>
            <w:r>
              <w:rPr/>
              <w:t>semestr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/>
            </w:pPr>
            <w:r>
              <w:rPr/>
              <w:t>Punkty ECTS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wykład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/>
            </w:pPr>
            <w:r>
              <w:rPr/>
              <w:t>II</w: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konwersatorium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ćwiczenia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laboratorium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warsztaty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seminarium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proseminarium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lektorat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praktyki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zajęcia terenowe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pracownia dyplomowa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translatorium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wizyta studyjna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Standard"/>
        <w:spacing w:before="0" w:after="0"/>
        <w:rPr/>
      </w:pPr>
      <w:r>
        <w:rPr/>
      </w:r>
    </w:p>
    <w:tbl>
      <w:tblPr>
        <w:tblW w:w="9212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32"/>
        <w:gridCol w:w="6979"/>
      </w:tblGrid>
      <w:tr>
        <w:trPr/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Wymagania wstępne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/>
            </w:pPr>
            <w:r>
              <w:rPr/>
              <w:t>W1 – Zainteresowanie problematyką przedmiotu</w:t>
            </w:r>
          </w:p>
        </w:tc>
      </w:tr>
    </w:tbl>
    <w:p>
      <w:pPr>
        <w:pStyle w:val="Standard"/>
        <w:spacing w:before="0" w:after="0"/>
        <w:rPr/>
      </w:pPr>
      <w:r>
        <w:rPr/>
      </w:r>
    </w:p>
    <w:p>
      <w:pPr>
        <w:pStyle w:val="Standard"/>
        <w:spacing w:before="0" w:after="0"/>
        <w:rPr/>
      </w:pPr>
      <w:r>
        <w:rPr/>
      </w:r>
    </w:p>
    <w:p>
      <w:pPr>
        <w:pStyle w:val="ListParagraph"/>
        <w:numPr>
          <w:ilvl w:val="0"/>
          <w:numId w:val="11"/>
        </w:numPr>
        <w:rPr/>
      </w:pPr>
      <w:r>
        <w:rPr>
          <w:b/>
        </w:rPr>
        <w:t>Cele kształcenia dla przedmiotu</w:t>
      </w:r>
    </w:p>
    <w:tbl>
      <w:tblPr>
        <w:tblW w:w="9237" w:type="dxa"/>
        <w:jc w:val="left"/>
        <w:tblInd w:w="-11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000"/>
      </w:tblPr>
      <w:tblGrid>
        <w:gridCol w:w="9237"/>
      </w:tblGrid>
      <w:tr>
        <w:trPr>
          <w:trHeight w:val="646" w:hRule="atLeast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/>
            </w:pPr>
            <w:r>
              <w:rPr/>
              <w:t>C1 – Przedstawienie i scharakteryzowanie specyfiki ustrojów politycznych wybranych państw, ich prawa wyborczego oraz systemów partyjnych</w:t>
            </w:r>
          </w:p>
        </w:tc>
      </w:tr>
      <w:tr>
        <w:trPr>
          <w:trHeight w:val="329" w:hRule="atLeast"/>
        </w:trPr>
        <w:tc>
          <w:tcPr>
            <w:tcW w:w="9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/>
            </w:pPr>
            <w:r>
              <w:rPr/>
              <w:t>C2 –  Charakterystyka głównych organów władzy ustawodawczej, wykonawczej i sądowniczej oraz wzajemnych zależności między nimi</w:t>
            </w:r>
          </w:p>
        </w:tc>
      </w:tr>
      <w:tr>
        <w:trPr>
          <w:trHeight w:val="333" w:hRule="atLeast"/>
        </w:trPr>
        <w:tc>
          <w:tcPr>
            <w:tcW w:w="9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C3 – Przedstawienie  podobieństw i różnic między poszczególnymi systemami politycznymi</w:t>
            </w:r>
          </w:p>
        </w:tc>
      </w:tr>
      <w:tr>
        <w:trPr>
          <w:trHeight w:val="707" w:hRule="atLeast"/>
        </w:trPr>
        <w:tc>
          <w:tcPr>
            <w:tcW w:w="9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/>
            </w:pPr>
            <w:r>
              <w:rPr/>
              <w:t>C4 -  Określenie zalet i wad poszczególnych rozwiązań ustrojowych</w:t>
            </w:r>
          </w:p>
        </w:tc>
      </w:tr>
      <w:tr>
        <w:trPr>
          <w:trHeight w:val="300" w:hRule="atLeast"/>
        </w:trPr>
        <w:tc>
          <w:tcPr>
            <w:tcW w:w="9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/>
            </w:pPr>
            <w:r>
              <w:rPr/>
              <w:t>C5 – Przygotowanie do czynnego uczestnictwa w życiu publicznym</w:t>
            </w:r>
          </w:p>
        </w:tc>
      </w:tr>
    </w:tbl>
    <w:p>
      <w:pPr>
        <w:pStyle w:val="Standard"/>
        <w:spacing w:before="0" w:after="0"/>
        <w:rPr/>
      </w:pPr>
      <w:r>
        <w:rPr/>
      </w:r>
      <w:r>
        <w:br w:type="page"/>
      </w:r>
    </w:p>
    <w:p>
      <w:pPr>
        <w:pStyle w:val="ListParagraph"/>
        <w:numPr>
          <w:ilvl w:val="0"/>
          <w:numId w:val="12"/>
        </w:numPr>
        <w:rPr/>
      </w:pPr>
      <w:r>
        <w:rPr>
          <w:b/>
        </w:rPr>
        <w:t>Efekty uczenia się dla przedmiotu wraz z odniesieniem do efektów kierunkowych</w:t>
      </w:r>
    </w:p>
    <w:tbl>
      <w:tblPr>
        <w:tblW w:w="9211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98"/>
        <w:gridCol w:w="5953"/>
        <w:gridCol w:w="2160"/>
      </w:tblGrid>
      <w:tr>
        <w:trPr/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/>
            </w:pPr>
            <w:r>
              <w:rPr/>
              <w:t>Symbol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/>
            </w:pPr>
            <w:r>
              <w:rPr/>
              <w:t>Opis efektu przedmiotowego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/>
            </w:pPr>
            <w:r>
              <w:rPr/>
              <w:t>Odniesienie do efektu kierunkowego</w:t>
            </w:r>
          </w:p>
        </w:tc>
      </w:tr>
      <w:tr>
        <w:trPr/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/>
            </w:pPr>
            <w:r>
              <w:rPr/>
              <w:t>WIEDZA</w:t>
            </w:r>
          </w:p>
        </w:tc>
      </w:tr>
      <w:tr>
        <w:trPr/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W_01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/>
            </w:pPr>
            <w:r>
              <w:rPr/>
              <w:t>Absolwent zna i definiuje  zasady konstytucyjno-prawne państw demokratycznych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K_W01, K_W03, K_W04, K_W05</w:t>
            </w:r>
          </w:p>
        </w:tc>
      </w:tr>
      <w:tr>
        <w:trPr/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W_02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/>
            </w:pPr>
            <w:r>
              <w:rPr/>
              <w:t>Absolwent zna różne klasyfikacje systemów politycznych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K_W01, K_W03, K_W04, K_W05</w:t>
            </w:r>
          </w:p>
        </w:tc>
      </w:tr>
      <w:tr>
        <w:trPr/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W_03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/>
            </w:pPr>
            <w:r>
              <w:rPr/>
              <w:t>Absolwent zna wzajemne zależności między władzą ustawodawczą, wykonawczą i sądowniczą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K_W01, K_W03, K_W04, K_W05</w:t>
            </w:r>
          </w:p>
        </w:tc>
      </w:tr>
      <w:tr>
        <w:trPr/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/>
            </w:pPr>
            <w:r>
              <w:rPr/>
              <w:t>UMIEJĘTNOŚCI</w:t>
            </w:r>
          </w:p>
        </w:tc>
      </w:tr>
      <w:tr>
        <w:trPr/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U_01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/>
            </w:pPr>
            <w:r>
              <w:rPr/>
              <w:t>Absolwent potrafi scharakteryzować różne systemy polityczne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K_U04, K_U06, K_U09</w:t>
            </w:r>
          </w:p>
        </w:tc>
      </w:tr>
      <w:tr>
        <w:trPr/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U_02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/>
            </w:pPr>
            <w:r>
              <w:rPr/>
              <w:t>Absolwent potrafi przygotować krótkie analizy aktów normatywnych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K_U04, K_U06, K_U09,</w:t>
            </w:r>
          </w:p>
        </w:tc>
      </w:tr>
      <w:tr>
        <w:trPr/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U_03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/>
            </w:pPr>
            <w:r>
              <w:rPr/>
              <w:t>Absolwent umie obiektywnie ocenić poszczególne rozwiązania funkcjonujące w ramach poszczególnych systemów politycznych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K_U01, K_U06, K_U09</w:t>
            </w:r>
          </w:p>
        </w:tc>
      </w:tr>
      <w:tr>
        <w:trPr/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/>
            </w:pPr>
            <w:r>
              <w:rPr/>
              <w:t>KOMPETENCJE SPOŁECZNE</w:t>
            </w:r>
          </w:p>
        </w:tc>
      </w:tr>
      <w:tr>
        <w:trPr/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K_01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/>
            </w:pPr>
            <w:r>
              <w:rPr/>
              <w:t>Absolwent kształtuje świadomość obywatelską swoją i środowiska, w którym funkcjonuje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K_K01, K_K02, K_K03</w:t>
            </w:r>
          </w:p>
        </w:tc>
      </w:tr>
      <w:tr>
        <w:trPr/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K_02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/>
            </w:pPr>
            <w:r>
              <w:rPr/>
              <w:t>Absolwent jest przygotowany do czynnego udziału w życiu publicznym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K_K01, K_K02, K_K03</w:t>
            </w:r>
          </w:p>
        </w:tc>
      </w:tr>
      <w:tr>
        <w:trPr/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K_03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/>
            </w:pPr>
            <w:r>
              <w:rPr/>
              <w:t>Absolwent jest aktywnym uczestnikiem społeczeństwa obywatelskiego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K_K01, K_K02, K_K03</w:t>
            </w:r>
          </w:p>
        </w:tc>
      </w:tr>
    </w:tbl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3"/>
        </w:numPr>
        <w:rPr/>
      </w:pPr>
      <w:r>
        <w:rPr>
          <w:b/>
        </w:rPr>
        <w:t>Opis przedmiotu/ treści programowe</w:t>
      </w:r>
    </w:p>
    <w:tbl>
      <w:tblPr>
        <w:tblW w:w="9212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212"/>
      </w:tblGrid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1. Systemy polityczne – definicje i klasyfikacje:</w:t>
            </w:r>
          </w:p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a) system parlamentarno-gabinetowy</w:t>
            </w:r>
          </w:p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b) system prezydencki</w:t>
            </w:r>
          </w:p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c) system mieszany</w:t>
            </w:r>
          </w:p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2. System polityczny Wielkiej Brytanii:</w:t>
            </w:r>
          </w:p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a) specyfika konstytucji i źródła prawa konstytucyjnego</w:t>
            </w:r>
          </w:p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b) parlament – wybory, struktura, kompetencje</w:t>
            </w:r>
          </w:p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c) prerogatywy monarchy i jego pozycja ustrojowa</w:t>
            </w:r>
          </w:p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d) rząd i gabinet – pozycja ustrojowa premiera</w:t>
            </w:r>
          </w:p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e) specyfika i pozycja ustrojowa władzy sądowniczej</w:t>
            </w:r>
          </w:p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3. System polityczny Stanów Zjednoczonych:</w:t>
            </w:r>
          </w:p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a) specyfika konstytucji</w:t>
            </w:r>
          </w:p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b) parlament – wybory, struktura, kompetencje</w:t>
            </w:r>
          </w:p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c) prezydent  - wybory i pozycja ustrojowa</w:t>
            </w:r>
          </w:p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d) specyfika i pozycja władzy sądowniczej</w:t>
            </w:r>
          </w:p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4. System polityczny Francji:</w:t>
            </w:r>
          </w:p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a) specyfika konstytucji</w:t>
            </w:r>
          </w:p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b) prezydent – wybory i pozycja ustrojowa</w:t>
            </w:r>
          </w:p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c) parlament – wybory, struktura i kompetencje</w:t>
            </w:r>
          </w:p>
        </w:tc>
      </w:tr>
    </w:tbl>
    <w:p>
      <w:pPr>
        <w:pStyle w:val="Standard"/>
        <w:rPr>
          <w:b/>
          <w:b/>
        </w:rPr>
      </w:pPr>
      <w:r>
        <w:rPr>
          <w:b/>
        </w:rPr>
      </w:r>
    </w:p>
    <w:p>
      <w:pPr>
        <w:pStyle w:val="Standard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4"/>
        </w:numPr>
        <w:rPr/>
      </w:pPr>
      <w:r>
        <w:rPr>
          <w:b/>
        </w:rPr>
        <w:t>Metody realizacji i weryfikacji efektów uczenia się</w:t>
      </w:r>
    </w:p>
    <w:tbl>
      <w:tblPr>
        <w:tblW w:w="9212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99"/>
        <w:gridCol w:w="2695"/>
        <w:gridCol w:w="2834"/>
        <w:gridCol w:w="2583"/>
      </w:tblGrid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/>
            </w:pPr>
            <w:r>
              <w:rPr/>
              <w:t>Symbol efektu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/>
            </w:pPr>
            <w:r>
              <w:rPr/>
              <w:t>Metody dydaktyczne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/>
            </w:pPr>
            <w:r>
              <w:rPr/>
              <w:t>Metody weryfikacji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/>
            </w:pPr>
            <w:r>
              <w:rPr/>
              <w:t>Sposoby dokumentacji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/>
            </w:pPr>
            <w:r>
              <w:rPr>
                <w:i/>
                <w:sz w:val="18"/>
                <w:szCs w:val="18"/>
              </w:rPr>
              <w:t>(lista wyboru)</w:t>
            </w:r>
          </w:p>
        </w:tc>
      </w:tr>
      <w:tr>
        <w:trPr/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/>
            </w:pPr>
            <w:r>
              <w:rPr/>
              <w:t>WIEDZA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W_01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/>
            </w:pPr>
            <w:r>
              <w:rPr/>
              <w:t>Wykład problemowy/Dyskusja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/>
            </w:pPr>
            <w:r>
              <w:rPr/>
              <w:t>Egzamin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Protokół/Lista własna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W_02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W_…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/>
            </w:pPr>
            <w:r>
              <w:rPr/>
              <w:t>UMIEJĘTNOŚCI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U_01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Wykład problemowy/Dyskusja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Egzamin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Protokół/Lista własna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U_02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U_….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/>
            </w:pPr>
            <w:r>
              <w:rPr/>
              <w:t>KOMPETENCJE SPOŁECZNE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K_01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Wykład problemowy/Dyskusja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Egzamin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Protokół/Lista własna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K_02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K_...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Standard"/>
        <w:spacing w:before="0" w:after="0"/>
        <w:rPr/>
      </w:pPr>
      <w:r>
        <w:rPr/>
      </w:r>
    </w:p>
    <w:p>
      <w:pPr>
        <w:pStyle w:val="ListParagraph"/>
        <w:ind w:left="108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5"/>
        </w:numPr>
        <w:rPr/>
      </w:pPr>
      <w:r>
        <w:rPr>
          <w:b/>
        </w:rPr>
        <w:t>Kryteria oceny, uwagi…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ind w:left="720" w:hanging="0"/>
        <w:rPr/>
      </w:pPr>
      <w:r>
        <w:rPr/>
        <w:t>Ocena niedostateczna: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ind w:left="720" w:hanging="0"/>
        <w:jc w:val="both"/>
        <w:rPr/>
      </w:pPr>
      <w:r>
        <w:rPr/>
        <w:t>(W) – Student nie definiuje podstawowych pojęć wchodzących w zakres przedmiotu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ind w:left="720" w:hanging="0"/>
        <w:jc w:val="both"/>
        <w:rPr/>
      </w:pPr>
      <w:r>
        <w:rPr/>
        <w:t>(U) – Student nie potrafi wymienić zagadnień będących przedmiotem wykładu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ind w:left="720" w:hanging="0"/>
        <w:jc w:val="both"/>
        <w:rPr/>
      </w:pPr>
      <w:r>
        <w:rPr/>
        <w:t xml:space="preserve">(K) – Student wyrażą bierną postawę w procesie samokształcenia 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ind w:left="720" w:hanging="0"/>
        <w:jc w:val="both"/>
        <w:rPr/>
      </w:pPr>
      <w:r>
        <w:rPr/>
        <w:t>Ocena dostateczna: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ind w:left="720" w:hanging="0"/>
        <w:jc w:val="both"/>
        <w:rPr/>
      </w:pPr>
      <w:r>
        <w:rPr/>
        <w:t>(W) – Student definiuje niektóre pojęcia wchodzące w zakres przedmiotu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ind w:left="720" w:hanging="0"/>
        <w:jc w:val="both"/>
        <w:rPr/>
      </w:pPr>
      <w:r>
        <w:rPr/>
        <w:t>(U) – Student potrafi wymienić niektóre zagadnienia będące przedmiotem wykładu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ind w:left="720" w:hanging="0"/>
        <w:jc w:val="both"/>
        <w:rPr/>
      </w:pPr>
      <w:r>
        <w:rPr/>
        <w:t xml:space="preserve">(K) – Student stara się wyrażać aktywną postawę w procesie samokształcenia 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ind w:left="720" w:hanging="0"/>
        <w:jc w:val="both"/>
        <w:rPr/>
      </w:pPr>
      <w:r>
        <w:rPr/>
        <w:t>Ocena dobra: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ind w:left="720" w:hanging="0"/>
        <w:jc w:val="both"/>
        <w:rPr/>
      </w:pPr>
      <w:r>
        <w:rPr/>
        <w:t>(W) – Student definiuje większość pojęć wchodzących w zakres przedmiotu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ind w:left="720" w:hanging="0"/>
        <w:jc w:val="both"/>
        <w:rPr/>
      </w:pPr>
      <w:r>
        <w:rPr/>
        <w:t>(U) – Student potrafi wymienić większość zagadnień będących przedmiotem wykładu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ind w:left="720" w:hanging="0"/>
        <w:jc w:val="both"/>
        <w:rPr/>
      </w:pPr>
      <w:r>
        <w:rPr/>
        <w:t xml:space="preserve">(K) – Student wyrażą aktywną postawę w procesie samokształcenia 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ind w:left="720" w:hanging="0"/>
        <w:jc w:val="both"/>
        <w:rPr/>
      </w:pPr>
      <w:r>
        <w:rPr/>
        <w:t>Ocena bardzo dobra: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ind w:left="720" w:hanging="0"/>
        <w:jc w:val="both"/>
        <w:rPr/>
      </w:pPr>
      <w:r>
        <w:rPr/>
        <w:t>(W) – Student definiuje wszystkie pojęcia wchodzące w zakres przedmiotu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ind w:left="720" w:hanging="0"/>
        <w:jc w:val="both"/>
        <w:rPr/>
      </w:pPr>
      <w:r>
        <w:rPr/>
        <w:t>(U) – Student zna wszystkie zagadnienia będące przedmiotem wykładu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ind w:left="720" w:hanging="0"/>
        <w:jc w:val="both"/>
        <w:rPr/>
      </w:pPr>
      <w:r>
        <w:rPr/>
        <w:t>(K) – Student wyraża aktywną postawę w procesie samokształcenia, ma świadomość jego ciągłości i kontynuacji</w:t>
      </w:r>
    </w:p>
    <w:p>
      <w:pPr>
        <w:pStyle w:val="Standard"/>
        <w:rPr>
          <w:b/>
          <w:b/>
        </w:rPr>
      </w:pPr>
      <w:r>
        <w:rPr>
          <w:b/>
        </w:rPr>
      </w:r>
      <w:r>
        <w:br w:type="page"/>
      </w:r>
    </w:p>
    <w:p>
      <w:pPr>
        <w:pStyle w:val="ListParagraph"/>
        <w:numPr>
          <w:ilvl w:val="0"/>
          <w:numId w:val="16"/>
        </w:numPr>
        <w:rPr/>
      </w:pPr>
      <w:r>
        <w:rPr>
          <w:b/>
        </w:rPr>
        <w:t>Obciążenie pracą studenta</w:t>
      </w:r>
    </w:p>
    <w:tbl>
      <w:tblPr>
        <w:tblW w:w="9211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05"/>
        <w:gridCol w:w="4605"/>
      </w:tblGrid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Forma aktywności studenta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Liczba godzin</w:t>
            </w:r>
          </w:p>
        </w:tc>
      </w:tr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Liczba godzin kontaktowych z nauczycielem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30</w:t>
            </w:r>
          </w:p>
        </w:tc>
      </w:tr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Liczba godzin indywidualnej pracy studenta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90</w:t>
            </w:r>
          </w:p>
        </w:tc>
      </w:tr>
    </w:tbl>
    <w:p>
      <w:pPr>
        <w:pStyle w:val="Standard"/>
        <w:spacing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7"/>
        </w:numPr>
        <w:rPr/>
      </w:pPr>
      <w:r>
        <w:rPr>
          <w:b/>
        </w:rPr>
        <w:t>Literatura</w:t>
      </w:r>
    </w:p>
    <w:tbl>
      <w:tblPr>
        <w:tblW w:w="9212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212"/>
      </w:tblGrid>
      <w:tr>
        <w:trPr>
          <w:trHeight w:val="348" w:hRule="atLeast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Literatura podstawowa</w:t>
            </w:r>
          </w:p>
        </w:tc>
      </w:tr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Standard"/>
              <w:widowControl w:val="false"/>
              <w:spacing w:lineRule="auto" w:line="240" w:before="0" w:after="0"/>
              <w:jc w:val="both"/>
              <w:rPr/>
            </w:pPr>
            <w:r>
              <w:rPr/>
              <w:t xml:space="preserve">1. Żmigrodzki M., Dziemidok-Olszewska B. (red.), </w:t>
            </w:r>
            <w:r>
              <w:rPr>
                <w:i/>
              </w:rPr>
              <w:t>Współczesne systemy polityczne</w:t>
            </w:r>
            <w:r>
              <w:rPr/>
              <w:t>, Warszawa 2013</w:t>
            </w:r>
          </w:p>
          <w:p>
            <w:pPr>
              <w:pStyle w:val="Standard"/>
              <w:widowControl w:val="false"/>
              <w:spacing w:lineRule="auto" w:line="240" w:before="0" w:after="0"/>
              <w:jc w:val="both"/>
              <w:rPr/>
            </w:pPr>
            <w:r>
              <w:rPr/>
              <w:t xml:space="preserve">2. Skrzydło W. (red.), </w:t>
            </w:r>
            <w:r>
              <w:rPr>
                <w:i/>
              </w:rPr>
              <w:t>Ustroje państw współczesnych</w:t>
            </w:r>
            <w:r>
              <w:rPr/>
              <w:t>, Lublin 2010</w:t>
            </w:r>
          </w:p>
          <w:p>
            <w:pPr>
              <w:pStyle w:val="Standard"/>
              <w:widowControl w:val="false"/>
              <w:spacing w:lineRule="auto" w:line="240" w:before="0" w:after="0"/>
              <w:jc w:val="both"/>
              <w:rPr/>
            </w:pPr>
            <w:r>
              <w:rPr/>
              <w:t xml:space="preserve">3. Sarnecki P., </w:t>
            </w:r>
            <w:r>
              <w:rPr>
                <w:i/>
              </w:rPr>
              <w:t>Ustroje konstytucyjne państw współczesnych</w:t>
            </w:r>
            <w:r>
              <w:rPr/>
              <w:t>, Warszawa 2008</w:t>
            </w:r>
          </w:p>
          <w:p>
            <w:pPr>
              <w:pStyle w:val="Standard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>Literatura uzupełniająca</w:t>
            </w:r>
          </w:p>
        </w:tc>
      </w:tr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 xml:space="preserve">1. Wieciech T., </w:t>
            </w:r>
            <w:r>
              <w:rPr>
                <w:i/>
              </w:rPr>
              <w:t>System konstytucyjny Zjednoczonego Królestwa Wielkiej Brytanii i Irlandii Północnej</w:t>
            </w:r>
            <w:r>
              <w:rPr/>
              <w:t>, Warszawa 2019</w:t>
            </w:r>
          </w:p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 xml:space="preserve">2. Sarnecki P. (red.), </w:t>
            </w:r>
            <w:r>
              <w:rPr>
                <w:i/>
              </w:rPr>
              <w:t>Ustrój Unii Europejskiej i ustroje państw członkowskich</w:t>
            </w:r>
            <w:r>
              <w:rPr/>
              <w:t>, Warszawa 2007</w:t>
            </w:r>
          </w:p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 xml:space="preserve">3. Staśkiewicz W. (red.), </w:t>
            </w:r>
            <w:r>
              <w:rPr>
                <w:i/>
              </w:rPr>
              <w:t>Konstytucje państw Unii Europejskiej</w:t>
            </w:r>
            <w:r>
              <w:rPr/>
              <w:t>, Warszawa 2011</w:t>
            </w:r>
          </w:p>
          <w:p>
            <w:pPr>
              <w:pStyle w:val="Standard"/>
              <w:widowControl w:val="false"/>
              <w:spacing w:lineRule="auto" w:line="240" w:before="0" w:after="0"/>
              <w:jc w:val="both"/>
              <w:rPr/>
            </w:pPr>
            <w:r>
              <w:rPr/>
              <w:t xml:space="preserve">4. Banaszak B., </w:t>
            </w:r>
            <w:r>
              <w:rPr>
                <w:i/>
              </w:rPr>
              <w:t>Porównawcze prawo konstytucyjne współczesnych państw demokratycznych</w:t>
            </w:r>
            <w:r>
              <w:rPr/>
              <w:t>, Warszawa 2012</w:t>
            </w:r>
          </w:p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/>
              <w:t xml:space="preserve">5. Osiński J. (red.), </w:t>
            </w:r>
            <w:r>
              <w:rPr>
                <w:i/>
              </w:rPr>
              <w:t>Prezydent w państwach współczesnych</w:t>
            </w:r>
            <w:r>
              <w:rPr/>
              <w:t>, Warszawa 2009</w:t>
            </w:r>
          </w:p>
          <w:p>
            <w:pPr>
              <w:pStyle w:val="Standard"/>
              <w:widowControl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</w:tbl>
    <w:p>
      <w:pPr>
        <w:pStyle w:val="Standard"/>
        <w:spacing w:before="0" w:after="0"/>
        <w:rPr>
          <w:b/>
          <w:b/>
        </w:rPr>
      </w:pPr>
      <w:r>
        <w:rPr>
          <w:b/>
        </w:rPr>
      </w:r>
    </w:p>
    <w:p>
      <w:pPr>
        <w:pStyle w:val="Standard"/>
        <w:widowControl/>
        <w:suppressAutoHyphens w:val="true"/>
        <w:bidi w:val="0"/>
        <w:spacing w:lineRule="auto" w:line="276" w:before="0" w:after="200"/>
        <w:jc w:val="left"/>
        <w:textAlignment w:val="baseline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>
        <w:i/>
      </w:rPr>
      <w:t>Załącznik nr 5 do dokumentacji programowej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upperRoman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upperRoman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upperRoman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</w:lvl>
  </w:abstractNum>
  <w:abstractNum w:abstractNumId="7">
    <w:lvl w:ilvl="0">
      <w:start w:val="1"/>
      <w:numFmt w:val="upperRoman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</w:lvl>
  </w:abstractNum>
  <w:abstractNum w:abstractNumId="8">
    <w:lvl w:ilvl="0">
      <w:start w:val="1"/>
      <w:numFmt w:val="upperRoman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"/>
    <w:lvlOverride w:ilvl="0">
      <w:startOverride w:val="1"/>
    </w:lvlOverride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F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5296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F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atory" w:customStyle="1">
    <w:name w:val="tabulatory"/>
    <w:basedOn w:val="DefaultParagraphFont"/>
    <w:qFormat/>
    <w:rsid w:val="002969b5"/>
    <w:rPr/>
  </w:style>
  <w:style w:type="character" w:styleId="Czeinternetowe" w:customStyle="1">
    <w:name w:val="Łącze internetowe"/>
    <w:basedOn w:val="DefaultParagraphFont"/>
    <w:qFormat/>
    <w:rsid w:val="002969b5"/>
    <w:rPr>
      <w:color w:val="0000FF"/>
      <w:u w:val="single"/>
    </w:rPr>
  </w:style>
  <w:style w:type="character" w:styleId="Access" w:customStyle="1">
    <w:name w:val="access"/>
    <w:basedOn w:val="DefaultParagraphFont"/>
    <w:qFormat/>
    <w:rsid w:val="002969b5"/>
    <w:rPr/>
  </w:style>
  <w:style w:type="character" w:styleId="Luchili" w:customStyle="1">
    <w:name w:val="luc_hili"/>
    <w:basedOn w:val="DefaultParagraphFont"/>
    <w:qFormat/>
    <w:rsid w:val="002969b5"/>
    <w:rPr/>
  </w:style>
  <w:style w:type="character" w:styleId="NagwekZnak" w:customStyle="1">
    <w:name w:val="Nagłówek Znak"/>
    <w:basedOn w:val="DefaultParagraphFont"/>
    <w:qFormat/>
    <w:rsid w:val="002969b5"/>
    <w:rPr/>
  </w:style>
  <w:style w:type="character" w:styleId="StopkaZnak" w:customStyle="1">
    <w:name w:val="Stopka Znak"/>
    <w:basedOn w:val="DefaultParagraphFont"/>
    <w:qFormat/>
    <w:rsid w:val="002969b5"/>
    <w:rPr/>
  </w:style>
  <w:style w:type="character" w:styleId="TekstdymkaZnak" w:customStyle="1">
    <w:name w:val="Tekst dymka Znak"/>
    <w:basedOn w:val="DefaultParagraphFont"/>
    <w:qFormat/>
    <w:rsid w:val="002969b5"/>
    <w:rPr>
      <w:rFonts w:ascii="Tahoma" w:hAnsi="Tahoma" w:cs="Tahoma"/>
      <w:sz w:val="16"/>
      <w:szCs w:val="16"/>
    </w:rPr>
  </w:style>
  <w:style w:type="character" w:styleId="NagwekZnak1" w:customStyle="1">
    <w:name w:val="Nagłówek Znak1"/>
    <w:basedOn w:val="DefaultParagraphFont"/>
    <w:link w:val="Nagwek"/>
    <w:uiPriority w:val="99"/>
    <w:semiHidden/>
    <w:qFormat/>
    <w:rsid w:val="002969b5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23242c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23242c"/>
    <w:rPr>
      <w:vertAlign w:val="superscript"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471a40"/>
    <w:rPr/>
  </w:style>
  <w:style w:type="paragraph" w:styleId="Nagwek" w:customStyle="1">
    <w:name w:val="Nagłówek"/>
    <w:basedOn w:val="Standard"/>
    <w:next w:val="Textbody"/>
    <w:qFormat/>
    <w:rsid w:val="002969b5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2969b5"/>
    <w:pPr/>
    <w:rPr>
      <w:rFonts w:cs="Mangal"/>
      <w:sz w:val="24"/>
    </w:rPr>
  </w:style>
  <w:style w:type="paragraph" w:styleId="Caption" w:customStyle="1">
    <w:name w:val="Caption"/>
    <w:basedOn w:val="Standard"/>
    <w:qFormat/>
    <w:rsid w:val="002969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Standard"/>
    <w:qFormat/>
    <w:rsid w:val="002969b5"/>
    <w:pPr>
      <w:suppressLineNumbers/>
    </w:pPr>
    <w:rPr>
      <w:rFonts w:cs="Mangal"/>
      <w:sz w:val="24"/>
    </w:rPr>
  </w:style>
  <w:style w:type="paragraph" w:styleId="Standard" w:customStyle="1">
    <w:name w:val="Standard"/>
    <w:qFormat/>
    <w:rsid w:val="002969b5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F"/>
      <w:color w:val="auto"/>
      <w:kern w:val="0"/>
      <w:sz w:val="22"/>
      <w:szCs w:val="22"/>
      <w:lang w:val="pl-PL" w:eastAsia="en-US" w:bidi="ar-SA"/>
    </w:rPr>
  </w:style>
  <w:style w:type="paragraph" w:styleId="Textbody" w:customStyle="1">
    <w:name w:val="Text body"/>
    <w:basedOn w:val="Standard"/>
    <w:qFormat/>
    <w:rsid w:val="002969b5"/>
    <w:pPr>
      <w:spacing w:before="0" w:after="140"/>
    </w:pPr>
    <w:rPr/>
  </w:style>
  <w:style w:type="paragraph" w:styleId="Western" w:customStyle="1">
    <w:name w:val="western"/>
    <w:basedOn w:val="Standard"/>
    <w:qFormat/>
    <w:rsid w:val="002969b5"/>
    <w:pPr>
      <w:spacing w:lineRule="atLeast" w:line="102" w:before="280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Standard"/>
    <w:qFormat/>
    <w:rsid w:val="002969b5"/>
    <w:pPr>
      <w:ind w:left="720" w:hanging="0"/>
    </w:pPr>
    <w:rPr/>
  </w:style>
  <w:style w:type="paragraph" w:styleId="NormalWeb">
    <w:name w:val="Normal (Web)"/>
    <w:basedOn w:val="Standard"/>
    <w:qFormat/>
    <w:rsid w:val="002969b5"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2969b5"/>
    <w:pPr>
      <w:widowControl/>
      <w:suppressAutoHyphens w:val="true"/>
      <w:bidi w:val="0"/>
      <w:spacing w:before="0" w:after="0"/>
      <w:jc w:val="left"/>
      <w:textAlignment w:val="baseline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1"/>
    <w:uiPriority w:val="99"/>
    <w:semiHidden/>
    <w:unhideWhenUsed/>
    <w:rsid w:val="002969b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1"/>
    <w:uiPriority w:val="99"/>
    <w:semiHidden/>
    <w:unhideWhenUsed/>
    <w:rsid w:val="00471a4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Standard"/>
    <w:qFormat/>
    <w:rsid w:val="002969b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23242c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qFormat/>
    <w:rsid w:val="002969b5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LibreOffice/7.0.4.2$Windows_X86_64 LibreOffice_project/dcf040e67528d9187c66b2379df5ea4407429775</Application>
  <AppVersion>15.0000</AppVersion>
  <Pages>6</Pages>
  <Words>680</Words>
  <Characters>4867</Characters>
  <CharactersWithSpaces>5405</CharactersWithSpaces>
  <Paragraphs>165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2022-03-27T07:25:00Z</dcterms:created>
  <dc:creator>Anna Łukasiewicz</dc:creator>
  <dc:description/>
  <dc:language>pl-PL</dc:language>
  <cp:lastModifiedBy/>
  <cp:lastPrinted>2019-01-23T11:10:00Z</cp:lastPrinted>
  <dcterms:modified xsi:type="dcterms:W3CDTF">2022-04-12T14:54:02Z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