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1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Polityka regionalna UE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hd w:val="clear" w:color="auto" w:fill="F8F9FA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auto" w:line="240" w:before="0" w:after="0"/>
              <w:jc w:val="left"/>
              <w:rPr>
                <w:rFonts w:eastAsia="Times New Roman" w:cs="Courier New"/>
                <w:b/>
                <w:b/>
                <w:color w:val="202124"/>
                <w:lang w:eastAsia="pl-PL"/>
              </w:rPr>
            </w:pPr>
            <w:r>
              <w:rPr>
                <w:rFonts w:eastAsia="Times New Roman" w:cs="Courier New"/>
                <w:b/>
                <w:color w:val="202124"/>
                <w:kern w:val="0"/>
                <w:sz w:val="22"/>
                <w:szCs w:val="22"/>
                <w:lang w:val="pl-PL" w:eastAsia="pl-PL" w:bidi="ar-SA"/>
              </w:rPr>
              <w:t>Regional policy of the EU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Stosunki międzynarodowe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2"/>
        <w:gridCol w:w="4519"/>
      </w:tblGrid>
      <w:tr>
        <w:trPr/>
        <w:tc>
          <w:tcPr>
            <w:tcW w:w="45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 Artur Jan Kukuła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</w:t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</w:t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2"/>
        <w:gridCol w:w="6849"/>
      </w:tblGrid>
      <w:tr>
        <w:trPr/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W1-zainteresowanie przedmiotem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C1 -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Zapoznanie studentów z polityką Unii Europejskiej wspierającą rozwój regionów w jej państwach członkowskich. 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C2 -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Dostarczenie wiedzy o podmiotach, implementacji oraz zasadach funkcjonowania polityki spójności Unii Europejskiej.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C3 -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Dostarczenie wiedzy o Funduszach Strukturalnych służących realizacji Polityki Spójności UE oraz ich wykorzystaniu w regionach europejskich.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5834"/>
        <w:gridCol w:w="2137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zna i rozumie specyfikę nauk o polityce i administracji oraz nauk o bezpieczeństwie, a także ich relacje do innych dyscyplin w ramach dziedziny nauk społecznych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K_W02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zna i rozumie istotę oraz uwarunkowania bezpieczeństwa państwa zarówno w skali lokalnej, ogólnopaństwowej, jak i międzynarodowej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K_W06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Absolwent potrafi wykorzystać zdobytą wiedzę teoretyczną do analizowania, diagnozowania, wyjaśniania oraz prognozowania kwestii szczegółowych odnoszących się do bezpieczeństwa narodowego  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K_U08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U_07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Absolwent potrafi pozyskiwać, przechowywać oraz  przetwarzać informacje z wykorzystaniem nowoczesnych technologii informacyjnych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K_U10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K_03</w:t>
            </w:r>
          </w:p>
        </w:tc>
        <w:tc>
          <w:tcPr>
            <w:tcW w:w="5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/>
                <w:kern w:val="0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 xml:space="preserve">Absolwent jest gotów do dokonywania oceny i samooceny wiedzy we wskazanym zakresie.  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Standaard"/>
              <w:widowControl w:val="false"/>
              <w:suppressAutoHyphens w:val="true"/>
              <w:spacing w:before="0" w:after="0"/>
              <w:jc w:val="both"/>
              <w:rPr>
                <w:rFonts w:ascii="Calibri" w:hAnsi="Calibri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asciiTheme="minorHAnsi" w:hAnsiTheme="minorHAnsi"/>
                <w:kern w:val="0"/>
                <w:sz w:val="22"/>
                <w:szCs w:val="22"/>
                <w:lang w:val="pl-PL" w:bidi="ar-SA"/>
              </w:rPr>
              <w:t>1. Przedstawienie rygorów związanych z uczestnictwem w konwersatorium oraz jego zaliczaniem. Omówienie literatury, dokumentów i źródeł internetowych związanych z  konwersatorium, wprowadzenie w problematykę  zajęć.</w:t>
            </w:r>
          </w:p>
          <w:p>
            <w:pPr>
              <w:pStyle w:val="Standaard"/>
              <w:widowControl w:val="false"/>
              <w:suppressAutoHyphens w:val="true"/>
              <w:spacing w:before="0" w:after="0"/>
              <w:jc w:val="both"/>
              <w:rPr>
                <w:rFonts w:ascii="Calibri" w:hAnsi="Calibri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asciiTheme="minorHAnsi" w:hAnsiTheme="minorHAnsi"/>
                <w:kern w:val="0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rFonts w:ascii="Calibri" w:hAnsi="Calibri" w:asciiTheme="minorHAnsi" w:hAnsiTheme="minorHAnsi"/>
                <w:kern w:val="0"/>
                <w:sz w:val="22"/>
                <w:szCs w:val="22"/>
                <w:lang w:val="pl-PL" w:bidi="ar-SA"/>
              </w:rPr>
              <w:t>2. Podstawowe pojęcia polityki regionalnej (region, zasoby, rozwój regionalny i jego koncepcje).</w:t>
            </w:r>
          </w:p>
          <w:p>
            <w:pPr>
              <w:pStyle w:val="Standaard"/>
              <w:widowControl w:val="false"/>
              <w:suppressAutoHyphens w:val="true"/>
              <w:spacing w:before="0" w:after="0"/>
              <w:jc w:val="both"/>
              <w:rPr>
                <w:rFonts w:ascii="Calibri" w:hAnsi="Calibri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asciiTheme="minorHAnsi" w:hAnsiTheme="minorHAnsi"/>
                <w:kern w:val="0"/>
                <w:sz w:val="22"/>
                <w:szCs w:val="22"/>
                <w:lang w:val="pl-PL" w:bidi="ar-SA"/>
              </w:rPr>
              <w:t>3. Czynniki oraz bariery rozwoju regionalnego.</w:t>
            </w:r>
          </w:p>
          <w:p>
            <w:pPr>
              <w:pStyle w:val="Standaard"/>
              <w:widowControl w:val="false"/>
              <w:suppressAutoHyphens w:val="true"/>
              <w:spacing w:before="0" w:after="0"/>
              <w:jc w:val="both"/>
              <w:rPr>
                <w:rFonts w:ascii="Calibri" w:hAnsi="Calibri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asciiTheme="minorHAnsi" w:hAnsiTheme="minorHAnsi"/>
                <w:kern w:val="0"/>
                <w:sz w:val="22"/>
                <w:szCs w:val="22"/>
                <w:lang w:val="pl-PL" w:bidi="ar-SA"/>
              </w:rPr>
              <w:t>4. Zróżnicowanie regionalne UE (jego przyczyny i konsekwencje, podział terytorialny, Nomenklatura Jednostek Terytorialnych do Celów Statystycznych –NUTS).</w:t>
            </w:r>
          </w:p>
          <w:p>
            <w:pPr>
              <w:pStyle w:val="Standaard"/>
              <w:widowControl w:val="false"/>
              <w:suppressAutoHyphens w:val="true"/>
              <w:spacing w:before="0" w:after="0"/>
              <w:jc w:val="both"/>
              <w:rPr>
                <w:rFonts w:ascii="Calibri" w:hAnsi="Calibri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asciiTheme="minorHAnsi" w:hAnsiTheme="minorHAnsi"/>
                <w:kern w:val="0"/>
                <w:sz w:val="22"/>
                <w:szCs w:val="22"/>
                <w:lang w:val="pl-PL" w:bidi="ar-SA"/>
              </w:rPr>
              <w:t>5. Prawne podstawy Polityki Spójności UE.</w:t>
            </w:r>
          </w:p>
          <w:p>
            <w:pPr>
              <w:pStyle w:val="Standaard"/>
              <w:widowControl w:val="false"/>
              <w:suppressAutoHyphens w:val="true"/>
              <w:spacing w:before="0" w:after="0"/>
              <w:jc w:val="both"/>
              <w:rPr>
                <w:rFonts w:ascii="Calibri" w:hAnsi="Calibri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asciiTheme="minorHAnsi" w:hAnsiTheme="minorHAnsi"/>
                <w:kern w:val="0"/>
                <w:sz w:val="22"/>
                <w:szCs w:val="22"/>
                <w:lang w:val="pl-PL" w:bidi="ar-SA"/>
              </w:rPr>
              <w:t>6. Wspólnotowa Polityka Spójności (jej geneza, ewolucja, instrumenty prawne i finansowe, lata 1957-1992, powstanie UE, perspektywy finansowe: 2000-2006, 2007-2013).</w:t>
            </w:r>
          </w:p>
          <w:p>
            <w:pPr>
              <w:pStyle w:val="Standaard"/>
              <w:widowControl w:val="false"/>
              <w:suppressAutoHyphens w:val="true"/>
              <w:spacing w:before="0" w:after="0"/>
              <w:jc w:val="both"/>
              <w:rPr>
                <w:rFonts w:ascii="Calibri" w:hAnsi="Calibri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asciiTheme="minorHAnsi" w:hAnsiTheme="minorHAnsi"/>
                <w:kern w:val="0"/>
                <w:sz w:val="22"/>
                <w:szCs w:val="22"/>
                <w:lang w:val="pl-PL" w:bidi="ar-SA"/>
              </w:rPr>
              <w:t xml:space="preserve">7. Zasady wspólnotowej Polityki Spójności. </w:t>
            </w:r>
          </w:p>
          <w:p>
            <w:pPr>
              <w:pStyle w:val="Standaard"/>
              <w:widowControl w:val="false"/>
              <w:suppressAutoHyphens w:val="true"/>
              <w:spacing w:before="0" w:after="0"/>
              <w:jc w:val="both"/>
              <w:rPr>
                <w:rFonts w:ascii="Calibri" w:hAnsi="Calibri"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="Calibri" w:hAnsi="Calibri" w:asciiTheme="minorHAnsi" w:hAnsiTheme="minorHAnsi"/>
                <w:kern w:val="0"/>
                <w:sz w:val="22"/>
                <w:szCs w:val="22"/>
                <w:lang w:val="pl-PL" w:bidi="ar-SA"/>
              </w:rPr>
              <w:t>8. Współpraca regionalna w UE (organizacje regionów w Europie, Euroregiony jako najwyższa forma współpracy transgranicznej i ich rola w procesie integracji europejskiej).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9. Polityka spójności UE w latach 2014-2020.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10. Polityka spójności UE  w okresie programowania 2021-2027.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2"/>
        <w:gridCol w:w="2670"/>
        <w:gridCol w:w="2803"/>
        <w:gridCol w:w="2506"/>
      </w:tblGrid>
      <w:tr>
        <w:trPr/>
        <w:tc>
          <w:tcPr>
            <w:tcW w:w="108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80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Wykład/dyskusja/praca w grupach/prezentacje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ustny(online)/zaliczanie ustne (online)</w:t>
            </w:r>
          </w:p>
        </w:tc>
        <w:tc>
          <w:tcPr>
            <w:tcW w:w="25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Wykład/dyskusja/praca w grupach/prezentacje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ustny(online)/zaliczanie ustne (online)</w:t>
            </w:r>
          </w:p>
        </w:tc>
        <w:tc>
          <w:tcPr>
            <w:tcW w:w="25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Wykład/dyskusja/praca w grupach/prezentacje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ustny(online)/zaliczanie ustne (online)</w:t>
            </w:r>
          </w:p>
        </w:tc>
        <w:tc>
          <w:tcPr>
            <w:tcW w:w="25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U_07</w:t>
            </w:r>
          </w:p>
        </w:tc>
        <w:tc>
          <w:tcPr>
            <w:tcW w:w="26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Wykład/dyskusja/praca w grupach/prezentacje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ustny(online)/zaliczanie ustne (online)</w:t>
            </w:r>
          </w:p>
        </w:tc>
        <w:tc>
          <w:tcPr>
            <w:tcW w:w="25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8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K_03</w:t>
            </w:r>
          </w:p>
        </w:tc>
        <w:tc>
          <w:tcPr>
            <w:tcW w:w="26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Wykład/dyskusja/praca w grupach/prezentacje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 ustny(online)/zaliczanie ustne (online)</w:t>
            </w:r>
          </w:p>
        </w:tc>
        <w:tc>
          <w:tcPr>
            <w:tcW w:w="25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wagi...</w:t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ind w:left="0" w:hanging="0"/>
        <w:rPr/>
      </w:pPr>
      <w:r>
        <w:rPr/>
        <w:t>Ocena niedostateczna</w:t>
      </w:r>
    </w:p>
    <w:p>
      <w:pPr>
        <w:pStyle w:val="ListParagraph"/>
        <w:ind w:left="0" w:hanging="0"/>
        <w:rPr/>
      </w:pPr>
      <w:r>
        <w:rPr/>
        <w:t>(W) -Student nie rozróżnia poszczególnych zagadnień oraz procesów w ramach przedmiotu, nie rozpoznaje i nie charakteryzuje występujących między nimi relacji</w:t>
      </w:r>
    </w:p>
    <w:p>
      <w:pPr>
        <w:pStyle w:val="ListParagraph"/>
        <w:ind w:left="0" w:hanging="0"/>
        <w:rPr/>
      </w:pPr>
      <w:r>
        <w:rPr/>
        <w:t xml:space="preserve">(U) -Student nie potrafi analizować i objaśniać  poszczególnych zagadnień oraz procesów w ramach przedmiotu i nie charakteryzuje występujących między nimi relacji </w:t>
      </w:r>
    </w:p>
    <w:p>
      <w:pPr>
        <w:pStyle w:val="ListParagraph"/>
        <w:ind w:left="0" w:hanging="0"/>
        <w:rPr/>
      </w:pPr>
      <w:r>
        <w:rPr/>
        <w:t>(K)  -Student wyraża bierną postawę w procesie samokształcenia</w:t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/>
      </w:pPr>
      <w:r>
        <w:rPr/>
        <w:t>Ocena dostateczna</w:t>
      </w:r>
    </w:p>
    <w:p>
      <w:pPr>
        <w:pStyle w:val="ListParagraph"/>
        <w:ind w:left="0" w:hanging="0"/>
        <w:rPr/>
      </w:pPr>
      <w:r>
        <w:rPr/>
        <w:t>(W) -Student  rozróżnia niektóre zagadnienia oraz procesy w ramach przedmiotu, częściowo rozpoznaje i charakteryzuje występujące między nimi relacje</w:t>
      </w:r>
    </w:p>
    <w:p>
      <w:pPr>
        <w:pStyle w:val="ListParagraph"/>
        <w:ind w:left="0" w:hanging="0"/>
        <w:rPr/>
      </w:pPr>
      <w:r>
        <w:rPr/>
        <w:t xml:space="preserve">(U) -Student  potrafi analizować i objaśniać  niektóre zagadnienia oraz procesy w ramach przedmiotu i częściowo charakteryzuje występujące między nimi relacje </w:t>
      </w:r>
    </w:p>
    <w:p>
      <w:pPr>
        <w:pStyle w:val="ListParagraph"/>
        <w:ind w:left="0" w:hanging="0"/>
        <w:rPr/>
      </w:pPr>
      <w:r>
        <w:rPr/>
        <w:t>(K) -Student stara się wyrażać aktywną postawę w procesie samokształcenia</w:t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/>
      </w:pPr>
      <w:r>
        <w:rPr/>
        <w:t>Ocena dobra</w:t>
      </w:r>
    </w:p>
    <w:p>
      <w:pPr>
        <w:pStyle w:val="ListParagraph"/>
        <w:ind w:left="0" w:hanging="0"/>
        <w:rPr/>
      </w:pPr>
      <w:r>
        <w:rPr/>
        <w:t>(W) -Student  rozróżnia zagadnienia oraz procesy w ramach przedmiotu, rozpoznaje i charakteryzuje występujące między nimi relacje</w:t>
      </w:r>
    </w:p>
    <w:p>
      <w:pPr>
        <w:pStyle w:val="ListParagraph"/>
        <w:ind w:left="0" w:hanging="0"/>
        <w:rPr/>
      </w:pPr>
      <w:r>
        <w:rPr/>
        <w:t xml:space="preserve">(U) -Student  potrafi analizować i objaśniać  zagadnienia oraz procesy w ramach przedmiotu i  charakteryzować  występujące między nimi relacje </w:t>
      </w:r>
    </w:p>
    <w:p>
      <w:pPr>
        <w:pStyle w:val="ListParagraph"/>
        <w:ind w:left="0" w:hanging="0"/>
        <w:rPr/>
      </w:pPr>
      <w:r>
        <w:rPr/>
        <w:t>(K) -Student wyraża  aktywną postawę w procesie samokształcenia</w:t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/>
      </w:pPr>
      <w:r>
        <w:rPr/>
        <w:t>Ocena bardzo dobra</w:t>
      </w:r>
    </w:p>
    <w:p>
      <w:pPr>
        <w:pStyle w:val="ListParagraph"/>
        <w:ind w:left="0" w:hanging="0"/>
        <w:rPr/>
      </w:pPr>
      <w:r>
        <w:rPr/>
        <w:t>(W) -Student  rozróżnia wszystkie zagadnienia oraz procesy w ramach przedmiotu, bez trudu rozpoznaje i charakteryzuje występujące między nimi relacje</w:t>
      </w:r>
    </w:p>
    <w:p>
      <w:pPr>
        <w:pStyle w:val="ListParagraph"/>
        <w:ind w:left="0" w:hanging="0"/>
        <w:rPr/>
      </w:pPr>
      <w:r>
        <w:rPr/>
        <w:t>(U) -Student  potrafi analizować i objaśniać  wszystkie zagadnienia oraz procesy w ramach przedmiotu i  bez trudu charakteryzować  występujące między nimi relacje</w:t>
      </w:r>
    </w:p>
    <w:p>
      <w:pPr>
        <w:pStyle w:val="ListParagraph"/>
        <w:ind w:left="0" w:hanging="0"/>
        <w:rPr/>
      </w:pPr>
      <w:r>
        <w:rPr/>
        <w:t>(K) -Student wyraża  aktywną postawę w procesie samokształcenia, posiada także świadomość procesu samokształcenia</w:t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45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45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ind w:left="1080" w:hanging="654"/>
        <w:rPr>
          <w:b/>
          <w:b/>
        </w:rPr>
      </w:pPr>
      <w:r>
        <w:rPr>
          <w:b/>
        </w:rPr>
        <w:t>VIII.       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1. Pietrzyk I.,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Polityka regionalna Unii Europejskiej i regiony w państwach członkowskich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Warszawa: Wydawnictwo Naukowe PWN 2004.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804" w:leader="dot"/>
              </w:tabs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2.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Polityka regionalna i jej rola w podnoszeniu konkurencyjności regionów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pod red. M. Klamut i L. Cybulskiego, Wrocław: Akad. Ekonom. 2000.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804" w:leader="dot"/>
              </w:tabs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3.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Rozwój regionalny –podstawowe cele i wyzwania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praca zb. pod. red. A. F. Bociana, Białystok: Uniw. w Białymstoku 2007.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6804" w:leader="dot"/>
              </w:tabs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1. Z. Bajko, B. Jóźwik,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 xml:space="preserve"> Fundusze strukturalne i fundusz spójności w Polsce na lata 2007─ 2013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Wydawnictwo KUL, Lublin 2007.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2. Z. Szymla,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Determinanty rozwoju regionalnego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Wrocław-Warszawa-Kraków: Wydawnictwo Ossolineum 2000.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3.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Zarządzanie rozwojem regionalnym i lokalnym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.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Problemy teorii i praktyki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red. Wojciech Kosiedowski, Toruń: „Dom Organizatora” 2001.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45ca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3d3a21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3d3a21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semiHidden/>
    <w:qFormat/>
    <w:rsid w:val="003e49e3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Czeinternetowe">
    <w:name w:val="Łącze internetowe"/>
    <w:basedOn w:val="DefaultParagraphFont"/>
    <w:rsid w:val="00960794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67cfc"/>
    <w:pPr>
      <w:spacing w:before="0" w:after="200"/>
      <w:ind w:left="720" w:hanging="0"/>
      <w:contextualSpacing/>
    </w:pPr>
    <w:rPr/>
  </w:style>
  <w:style w:type="paragraph" w:styleId="HTMLPreformatted">
    <w:name w:val="HTML Preformatted"/>
    <w:basedOn w:val="Normal"/>
    <w:link w:val="HTML-wstpniesformatowanyZnak"/>
    <w:uiPriority w:val="99"/>
    <w:semiHidden/>
    <w:unhideWhenUsed/>
    <w:qFormat/>
    <w:rsid w:val="003e49e3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l-PL"/>
    </w:rPr>
  </w:style>
  <w:style w:type="paragraph" w:styleId="Standaard" w:customStyle="1">
    <w:name w:val="Standaard"/>
    <w:uiPriority w:val="99"/>
    <w:qFormat/>
    <w:rsid w:val="008864ee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nl-N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67cf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LibreOffice/7.0.4.2$Windows_X86_64 LibreOffice_project/dcf040e67528d9187c66b2379df5ea4407429775</Application>
  <AppVersion>15.0000</AppVersion>
  <Pages>6</Pages>
  <Words>797</Words>
  <Characters>5710</Characters>
  <CharactersWithSpaces>6406</CharactersWithSpaces>
  <Paragraphs>143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2022-01-22T23:53:00Z</dcterms:created>
  <dc:creator>Artur Jan Kukuła</dc:creator>
  <dc:description/>
  <dc:language>pl-PL</dc:language>
  <cp:lastModifiedBy/>
  <cp:lastPrinted>2019-11-23T20:38:00Z</cp:lastPrinted>
  <dcterms:modified xsi:type="dcterms:W3CDTF">2022-04-12T15:07:14Z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