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Polityka wschodnia UE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Eastern policy of the European Union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256"/>
        <w:gridCol w:w="2260"/>
        <w:gridCol w:w="2258"/>
      </w:tblGrid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kern w:val="0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Podstawowa wiedza z zakresu UE, szczególnie kluczowych zasad współpracy z państwami trzecimi.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wiedzy na temat aspektów funkcjonowania polityki wschodniej UE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osiągnięcie kompetencji krytycznego myślenia w dyskusjach i analiza tekstu w obszarze polityki wschodniej UE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</w:t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180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80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3"/>
        <w:gridCol w:w="5100"/>
        <w:gridCol w:w="2029"/>
      </w:tblGrid>
      <w:tr>
        <w:trPr/>
        <w:tc>
          <w:tcPr>
            <w:tcW w:w="19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1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0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zna i  rozumie istotę uwarunkowań stosunków międzynarodowych, w tym teorię i praktykę systemów międzynarodowych w stosunkach UE z Europą Wschodnią 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K_W02, K_W04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zna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i rozumie złożony charakter relacji wewnętrznych i zewnętrznych Unii Europejskiej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oraz międzynarodowych stosunków politycznych i gospodarczych w polityce wschodniej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polityki wschodniej 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ze stosunkami UE z państwami Europy Wschodniej,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skutki tych że działań, wykorzystując przy tym nabytą wiedzę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teoretyczną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posiada wiedzę w zakresie stosunków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międzynarodowych, która może być wykorzystana w praktyce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zarządzania sytuacjami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kryzysowymi 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K_K02</w:t>
            </w:r>
          </w:p>
        </w:tc>
      </w:tr>
      <w:tr>
        <w:trPr/>
        <w:tc>
          <w:tcPr>
            <w:tcW w:w="19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oraz prawidłowo interpretować przepisy prawne  w zakresie polityki wschodniej 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K_K04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Czym jest polityka wschodnia UE- definicja i podstawa prawna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Polityka wschodnia Unii Europejskiej jako część składowa polityki zagranicznej UE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Partnerstwo Wschodnie jako podstawowy element Europejskiej Polityki Sąsiedztwa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Polityka Partnerstwa Wschodniego po 2020 roku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Polityka wschodnia Polski- Polsko-Ukraińskie Forum Partnerstwa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Grupa Wyszehradzka (V4)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Inicjatywa Trójmorza (3SI)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Mały ruch graniczny i ruch bezwizowy z Ukrainą jako elementy polityki wschodniej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Euroregiony na wschodzie UE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INTERREG i europejska współpraca terytorialna jako elementy polityki wschodniej UE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Perspektywy rozszerzenia UE na Wschód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Pogłębiona i kompleksowa strefa wolnego handlu UE-Ukraina - DCFTA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Problemy  polityki wschodniej w warunkach pandemicznych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Konflikt graniczny na granicy z Białorusią w 2020-2021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Wojna w Ukrainie w 2022 i konflikty w latach wcześniejszych (Krym, Donbas).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pl-PL" w:eastAsia="pl-PL" w:bidi="ar-SA"/>
              </w:rPr>
              <w:b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pisemne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pisemny 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Test jednokrotnego wyboru, w skład oceny będzie wchodzić również aktywność </w:t>
        <w:br/>
        <w:t xml:space="preserve">i obecności oraz przygotowanie prezentacji. Prezentacja ma być wykonana z zastosowaniem rzutnika multimedialnego.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Metodami pracy będzie też dyskusja, praca z tekstem źródłowym, praca w grupach mająca na celu dedukcyjne i indukcyjne wnioskowanie z wykorzystaniem danych empirycznych oraz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analiza aktów prawnych.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Kryteria oceny: </w:t>
        <w:br/>
        <w:t>60% - 3</w:t>
        <w:br/>
        <w:t>65%- 3.5</w:t>
        <w:br/>
        <w:t>70 % - 4</w:t>
        <w:br/>
        <w:t>75 %- 4.5</w:t>
        <w:br/>
        <w:t>80 % - 5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O. Barburska,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pl-PL" w:bidi="ar-SA"/>
              </w:rPr>
              <w:t>Polityka wschodnia Unii Europejskiej jako część składowa polityki zagranicznej UE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, Warszawa 2018. 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A. Podraza,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pl-PL" w:bidi="ar-SA"/>
              </w:rPr>
              <w:t>Polityka wschodnia Unii Europejskiej: Próba podsumowania i perspektywy rozwoju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, Krakowskie Studia Międzynarodowe 4/2009.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10 lat Partnerstwa Wschodniego UE – perspektywa Polski i Europy Środkowej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, </w:t>
            </w:r>
            <w:hyperlink r:id="rId2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pl-PL" w:eastAsia="pl-PL" w:bidi="ar-SA"/>
                </w:rPr>
                <w:t>Rocznik Instytutu Europy Środkowo-Wschodniej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, zeszyt 2/2019, </w:t>
            </w:r>
            <w:hyperlink r:id="rId3">
              <w:r>
                <w:rPr>
                  <w:rStyle w:val="Czeinternetowe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pl-PL" w:eastAsia="pl-PL" w:bidi="ar-SA"/>
                </w:rPr>
                <w:t>https://ies.lublin.pl/rocznik/riesw/2019/2/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Akty prawne: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br/>
              <w:t>1.Traktat o funkcjonowaniu Unii Europejskiej (TFUE)</w:t>
              <w:br/>
              <w:t>2. Traktat o Unii Europejskiej (TUE)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3. Podstawy prawne PW, V4, 3SI</w:t>
              <w:b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K. Pełczyńska - Nałęcz, A. Duleba, L. Póti, V.Votápek,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pl-PL" w:bidi="ar-SA"/>
              </w:rPr>
              <w:t>Polityka wschodnia Unii Europejskiej – perspektywa krajów wyszehradzkich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, Warszawa 2003.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P. Turczyński,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pl-PL" w:bidi="ar-SA"/>
              </w:rPr>
              <w:t>Struktury bezpieczeństwa w Europie Środkowej i Wschodniej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 xml:space="preserve">, w: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pl-PL" w:bidi="ar-SA"/>
              </w:rPr>
              <w:t>Bezpieczeństwo europejskie. Systemy, instytucje, funkcjonowanie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bidi="ar-SA"/>
              </w:rPr>
              <w:t>, Wrocław 2011.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4444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30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e301b"/>
    <w:rPr/>
  </w:style>
  <w:style w:type="character" w:styleId="Fontstyle01" w:customStyle="1">
    <w:name w:val="fontstyle01"/>
    <w:basedOn w:val="DefaultParagraphFont"/>
    <w:qFormat/>
    <w:rsid w:val="006e301b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Czeinternetowe">
    <w:name w:val="Łącze internetowe"/>
    <w:basedOn w:val="DefaultParagraphFont"/>
    <w:uiPriority w:val="99"/>
    <w:unhideWhenUsed/>
    <w:rsid w:val="00ed5208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301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e30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e30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e3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rchgate.net/journal/Rocznik-Instytutu-Europy-Srodkowo-Wschodniej-1732-1395" TargetMode="External"/><Relationship Id="rId3" Type="http://schemas.openxmlformats.org/officeDocument/2006/relationships/hyperlink" Target="https://ies.lublin.pl/rocznik/riesw/2019/2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LibreOffice/7.0.4.2$Windows_X86_64 LibreOffice_project/dcf040e67528d9187c66b2379df5ea4407429775</Application>
  <AppVersion>15.0000</AppVersion>
  <Pages>4</Pages>
  <Words>747</Words>
  <Characters>5063</Characters>
  <CharactersWithSpaces>5652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2022-03-28T08:26:00Z</dcterms:created>
  <dc:creator>Anna</dc:creator>
  <dc:description/>
  <dc:language>pl-PL</dc:language>
  <cp:lastModifiedBy/>
  <dcterms:modified xsi:type="dcterms:W3CDTF">2022-04-12T15:23:55Z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