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4"/>
        <w:gridCol w:w="4517"/>
      </w:tblGrid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17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highlight w:val="yellow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Problemy narodowościowe na obszarze poradzieckim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Nationality problems in the post-Soviet area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Times New Roman" w:cs="Times New Roman"/>
                <w:b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pl-PL" w:eastAsia="pl-PL" w:bidi="ar-SA"/>
              </w:rPr>
              <w:t>Stosunki międzynarodowe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8"/>
        <w:gridCol w:w="4513"/>
      </w:tblGrid>
      <w:tr>
        <w:trPr/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Aleksandra Kuczyńska-Zonik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5"/>
        <w:gridCol w:w="6846"/>
      </w:tblGrid>
      <w:tr>
        <w:trPr/>
        <w:tc>
          <w:tcPr>
            <w:tcW w:w="22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Brak wymagań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1: D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iagnoza przyczyn, form i potencjału konfliktów narodowościowych na obszarze poradzieckim.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2: W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skazanie wpływu konfliktów narodowościowych na bezpieczeństwo w regionie.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C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3: O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cena możliwości obniżenia skali konfliktów narodowościowych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oraz </w:t>
            </w: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ich rozwiązania na obszarze poradzieckim. 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5833"/>
        <w:gridCol w:w="2138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Student potrafi wykorzystywać zdobytą wiedzę teoretyczną do analizowania, diagnozowania, wyjaśniania problemów narodowościowych oraz prognozowania wyzwań na obszarze poradzieckim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K_U01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Student potrafi prawidłowo oceniać zagrożenia, a także identyfikować przyczyny konfliktów narodowościowych na obszarze poradzieckim 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K_U05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  <w:t>1. Problemy narodowościowe i konflikty – definicje, uwarunkowania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  <w:t>2. Narody i grupy etniczne na obszarze poradzieckim (liczebność, rozmieszczenie, charakterystyka, wyzwania)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3. Polityka etniczna wybranych państw na obszarze poradzieckim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4. Wybrane problemy narodowościowe na obszarze poradzieckim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  <w:t>5. Problemy narodowościowe a bezpieczeństwo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  <w:t>6. Formy i sposoby zapobiegania konfliktom narodowościowym i etnicznym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1"/>
        <w:gridCol w:w="2647"/>
        <w:gridCol w:w="2780"/>
        <w:gridCol w:w="2543"/>
      </w:tblGrid>
      <w:tr>
        <w:trPr/>
        <w:tc>
          <w:tcPr>
            <w:tcW w:w="10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 (dyskusja, prezentacje, praca w grupach)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(zajęcia 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Konwersatorium (dyskusja, prezentacje, praca w grupach)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zaliczenie (zajęcia hybrydowe)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Kryteria oceny, wagi…</w:t>
      </w:r>
    </w:p>
    <w:p>
      <w:pPr>
        <w:pStyle w:val="Normal"/>
        <w:numPr>
          <w:ilvl w:val="0"/>
          <w:numId w:val="0"/>
        </w:numPr>
        <w:ind w:left="1440" w:hanging="0"/>
        <w:rPr>
          <w:rFonts w:ascii="Calibri" w:hAnsi="Calibri"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>Aktywność na zajęciach: 40%</w:t>
      </w:r>
    </w:p>
    <w:p>
      <w:pPr>
        <w:pStyle w:val="Normal"/>
        <w:numPr>
          <w:ilvl w:val="0"/>
          <w:numId w:val="0"/>
        </w:numPr>
        <w:ind w:left="1440" w:hanging="0"/>
        <w:rPr>
          <w:rFonts w:ascii="Calibri" w:hAnsi="Calibri"/>
          <w:sz w:val="22"/>
          <w:szCs w:val="22"/>
        </w:rPr>
      </w:pPr>
      <w:r>
        <w:rPr>
          <w:rFonts w:cs="Calibri" w:cstheme="minorHAnsi"/>
          <w:bCs/>
          <w:sz w:val="22"/>
          <w:szCs w:val="22"/>
        </w:rPr>
        <w:t>Zaliczenie: 60% (Omówienie i analiza wybranej monografii dotyczącej tematyki zajęć; o</w:t>
      </w:r>
      <w:r>
        <w:rPr>
          <w:rFonts w:cs="Calibri" w:cstheme="minorHAnsi"/>
          <w:b w:val="false"/>
          <w:bCs/>
          <w:i w:val="false"/>
          <w:caps w:val="false"/>
          <w:smallCaps w:val="false"/>
          <w:spacing w:val="0"/>
          <w:sz w:val="22"/>
          <w:szCs w:val="22"/>
        </w:rPr>
        <w:t>mówienie i analiza wybranego problemu/konfliktu narodowościowego na</w:t>
      </w:r>
      <w:r>
        <w:rPr>
          <w:rFonts w:cs="Calibri" w:cstheme="minorHAnsi"/>
          <w:b w:val="false"/>
          <w:bCs/>
          <w:i w:val="false"/>
          <w:caps w:val="false"/>
          <w:smallCaps w:val="false"/>
          <w:color w:val="111111"/>
          <w:spacing w:val="0"/>
          <w:sz w:val="22"/>
          <w:szCs w:val="22"/>
        </w:rPr>
        <w:t xml:space="preserve"> obszarze poradzieckim)</w:t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A. Chodubski,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Etnocentryzm jako doktryna polityczna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 [w:] </w:t>
            </w: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Ideologie, doktryny, ruchy społęczne i polityczne. Wybrane problemy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, M. Marczewska-Rytko, W. Ziętara (red.), Lublin 2015, s. 97-108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i/>
                <w:iCs/>
                <w:color w:val="111111"/>
                <w:kern w:val="0"/>
                <w:sz w:val="22"/>
                <w:szCs w:val="22"/>
                <w:lang w:val="pl-PL" w:eastAsia="en-US" w:bidi="ar-SA"/>
              </w:rPr>
              <w:t>Polityka etniczna – teorie, koncepcje, wyzwania</w:t>
            </w: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>, H. Chałupczak, R. Zenderowski, E. Pogorzała, T. Browarek, Lublin 2015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  <w:t xml:space="preserve">R. Zenderowski, </w:t>
            </w:r>
            <w:r>
              <w:rPr>
                <w:rFonts w:eastAsia="Calibri" w:cs=""/>
                <w:b w:val="false"/>
                <w:i/>
                <w:iCs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lang w:val="pl-PL" w:eastAsia="en-US" w:bidi="ar-SA"/>
              </w:rPr>
              <w:t>Konflikt etniczny, konflikt religijny, konflikt etnoreligijny jako konflikty polityczne</w:t>
            </w:r>
            <w:r>
              <w:rPr>
                <w:rFonts w:eastAsia="Calibri" w:cs="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u w:val="none"/>
                <w:lang w:val="pl-PL" w:eastAsia="en-US" w:bidi="ar-SA"/>
              </w:rPr>
              <w:t>, „Athenaeum” 2013, nr 38, s. 46-69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A. Gil, </w:t>
            </w:r>
            <w:r>
              <w:rPr>
                <w:i/>
                <w:iCs/>
                <w:color w:val="111111"/>
                <w:sz w:val="22"/>
                <w:szCs w:val="22"/>
              </w:rPr>
              <w:t>Etnoreligijne uwarunkowania bezpieczeństwa w regionie Azji Centralnej,</w:t>
            </w:r>
            <w:r>
              <w:rPr>
                <w:color w:val="111111"/>
                <w:sz w:val="22"/>
                <w:szCs w:val="22"/>
              </w:rPr>
              <w:t xml:space="preserve"> „RIEŚW” 2013, z. 11, nr 4, s. 109-129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K. Fedorowicz, </w:t>
            </w:r>
            <w:r>
              <w:rPr>
                <w:i/>
                <w:iCs/>
                <w:color w:val="111111"/>
                <w:sz w:val="22"/>
                <w:szCs w:val="22"/>
              </w:rPr>
              <w:t>Konflikty na Kaukazie Południowym jako czynniki destabilizujące rzeczywistość społeczno-polityczną</w:t>
            </w:r>
            <w:r>
              <w:rPr>
                <w:color w:val="111111"/>
                <w:sz w:val="22"/>
                <w:szCs w:val="22"/>
              </w:rPr>
              <w:t>, „Studia Europejskie” 2015, nr 4, s. 173-196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A. Kuczyńska-Zonik, </w:t>
            </w:r>
            <w:r>
              <w:rPr>
                <w:rFonts w:eastAsia="Calibri" w:cs=""/>
                <w:b w:val="false"/>
                <w:i/>
                <w:iCs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u w:val="none"/>
                <w:lang w:val="pl-PL" w:eastAsia="en-US" w:bidi="ar-SA"/>
              </w:rPr>
              <w:t>Dyskurs narodowościowy na Litwie w kontekście współczesnych wyzwań</w:t>
            </w:r>
            <w:r>
              <w:rPr>
                <w:rFonts w:eastAsia="Calibri" w:cs="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u w:val="none"/>
                <w:lang w:val="pl-PL" w:eastAsia="en-US" w:bidi="ar-SA"/>
              </w:rPr>
              <w:t>, „RIEŚW” 2016, z. 14, nr 5, s. 281-300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H. Giebień, </w:t>
            </w:r>
            <w:r>
              <w:rPr>
                <w:rFonts w:eastAsia="Calibri" w:cs=""/>
                <w:b w:val="false"/>
                <w:i/>
                <w:iCs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u w:val="none"/>
                <w:lang w:val="pl-PL" w:eastAsia="en-US" w:bidi="ar-SA"/>
              </w:rPr>
              <w:t>Konflikty etniczne we współczesnej Rosji. Zarys problemu</w:t>
            </w:r>
            <w:r>
              <w:rPr>
                <w:rFonts w:eastAsia="Calibri" w:cs="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u w:val="none"/>
                <w:lang w:val="pl-PL" w:eastAsia="en-US" w:bidi="ar-SA"/>
              </w:rPr>
              <w:t>, „Wschodnioznawstwo” 2016, s. 41-57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J. Olędzka, </w:t>
            </w:r>
            <w:r>
              <w:rPr>
                <w:rFonts w:eastAsia="Calibri" w:cs=""/>
                <w:b w:val="false"/>
                <w:i/>
                <w:iCs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u w:val="none"/>
                <w:lang w:val="pl-PL" w:eastAsia="en-US" w:bidi="ar-SA"/>
              </w:rPr>
              <w:t>Konflikty etniczne jako zagrożenie bezpieczeństwa obszaru poradzieckiego. Główne problemy badawcze</w:t>
            </w:r>
            <w:r>
              <w:rPr>
                <w:rFonts w:eastAsia="Calibri" w:cs="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u w:val="none"/>
                <w:lang w:val="pl-PL" w:eastAsia="en-US" w:bidi="ar-SA"/>
              </w:rPr>
              <w:t>, „Chorzowskie Studia Polityczne” 2016, nr 12, s. 141-151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Appadurai, </w:t>
            </w:r>
            <w:r>
              <w:rPr>
                <w:i/>
                <w:iCs/>
                <w:color w:val="000000"/>
                <w:sz w:val="22"/>
                <w:szCs w:val="22"/>
              </w:rPr>
              <w:t>Strach przed mniejszościami. Esej o geografii gniew</w:t>
            </w:r>
            <w:r>
              <w:rPr>
                <w:color w:val="000000"/>
                <w:sz w:val="22"/>
                <w:szCs w:val="22"/>
              </w:rPr>
              <w:t>u, Warszawa 2009</w:t>
            </w:r>
          </w:p>
          <w:p>
            <w:pPr>
              <w:pStyle w:val="Normal"/>
              <w:widowControl w:val="false"/>
              <w:suppressAutoHyphens w:val="tru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C. Calhoun, </w:t>
            </w:r>
            <w:r>
              <w:rPr>
                <w:i/>
                <w:iCs/>
                <w:color w:val="000000"/>
                <w:sz w:val="22"/>
                <w:szCs w:val="22"/>
              </w:rPr>
              <w:t>Nacjonalizm</w:t>
            </w:r>
            <w:r>
              <w:rPr>
                <w:color w:val="000000"/>
                <w:sz w:val="22"/>
                <w:szCs w:val="22"/>
              </w:rPr>
              <w:t>, Warszawa 2007</w:t>
            </w:r>
          </w:p>
          <w:p>
            <w:pPr>
              <w:pStyle w:val="Normal"/>
              <w:widowControl w:val="false"/>
              <w:suppressAutoHyphens w:val="tru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 xml:space="preserve">E. Gellner, </w:t>
            </w:r>
            <w:r>
              <w:rPr>
                <w:b w:val="false"/>
                <w:i/>
                <w:iCs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>Narody i nacjonalizm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szCs w:val="22"/>
                <w:u w:val="none"/>
                <w:effect w:val="none"/>
              </w:rPr>
              <w:t xml:space="preserve">, </w:t>
            </w:r>
            <w:r>
              <w:rPr>
                <w:b w:val="false"/>
                <w:color w:val="000000"/>
                <w:sz w:val="22"/>
                <w:szCs w:val="22"/>
              </w:rPr>
              <w:t>Warszawa 2009</w:t>
            </w:r>
          </w:p>
          <w:p>
            <w:pPr>
              <w:pStyle w:val="Normal"/>
              <w:widowControl w:val="false"/>
              <w:suppressAutoHyphens w:val="tru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S.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 xml:space="preserve">P. Huntington, </w:t>
            </w:r>
            <w:r>
              <w:rPr>
                <w:b w:val="false"/>
                <w:i/>
                <w:iCs/>
                <w:caps w:val="false"/>
                <w:smallCaps w:val="false"/>
                <w:color w:val="000000"/>
                <w:sz w:val="22"/>
                <w:szCs w:val="22"/>
              </w:rPr>
              <w:t>Zderzenie cywilizacji i nowy kształt ładu światowego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, Zysk i S-ka 2018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200"/>
              <w:rPr>
                <w:rFonts w:ascii="Calibri" w:hAnsi="Calibri" w:eastAsia="Calibri" w:cs=""/>
                <w:b w:val="false"/>
                <w:b w:val="false"/>
                <w:bCs w:val="false"/>
                <w:color w:val="111111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pacing w:val="0"/>
                <w:kern w:val="0"/>
                <w:sz w:val="22"/>
                <w:szCs w:val="22"/>
                <w:u w:val="none"/>
                <w:effect w:val="none"/>
                <w:lang w:val="pl-PL" w:eastAsia="en-US" w:bidi="ar-SA"/>
              </w:rPr>
              <w:t xml:space="preserve">A. Smith, </w:t>
            </w:r>
            <w:r>
              <w:rPr>
                <w:rFonts w:eastAsia="Calibri" w:cs=""/>
                <w:b w:val="false"/>
                <w:bCs w:val="false"/>
                <w:i/>
                <w:iCs/>
                <w:caps w:val="false"/>
                <w:smallCaps w:val="false"/>
                <w:strike w:val="false"/>
                <w:dstrike w:val="false"/>
                <w:color w:val="111111"/>
                <w:spacing w:val="0"/>
                <w:kern w:val="0"/>
                <w:sz w:val="22"/>
                <w:szCs w:val="22"/>
                <w:u w:val="none"/>
                <w:effect w:val="none"/>
                <w:lang w:val="pl-PL" w:eastAsia="en-US" w:bidi="ar-SA"/>
              </w:rPr>
              <w:t>Nacjonalizm: teoria, ideologia, historia</w:t>
            </w:r>
            <w:r>
              <w:rPr>
                <w:rFonts w:eastAsia="Calibri" w:cs="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111111"/>
                <w:spacing w:val="0"/>
                <w:kern w:val="0"/>
                <w:sz w:val="22"/>
                <w:szCs w:val="22"/>
                <w:u w:val="none"/>
                <w:effect w:val="none"/>
                <w:lang w:val="pl-PL" w:eastAsia="en-US" w:bidi="ar-SA"/>
              </w:rPr>
              <w:t xml:space="preserve">, </w:t>
            </w:r>
            <w:r>
              <w:rPr>
                <w:rFonts w:eastAsia="Calibri" w:cs=""/>
                <w:b w:val="false"/>
                <w:bCs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2"/>
                <w:szCs w:val="22"/>
                <w:lang w:val="pl-PL" w:eastAsia="en-US" w:bidi="ar-SA"/>
              </w:rPr>
              <w:t>Warszawa 2007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CEE2-E265-442B-84DC-031AD022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LibreOffice/7.0.4.2$Windows_X86_64 LibreOffice_project/dcf040e67528d9187c66b2379df5ea4407429775</Application>
  <AppVersion>15.0000</AppVersion>
  <Pages>3</Pages>
  <Words>523</Words>
  <Characters>3799</Characters>
  <CharactersWithSpaces>4220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2021-03-05T12:38:00Z</dcterms:created>
  <dc:creator>Anna Łukasiewicz</dc:creator>
  <dc:description/>
  <dc:language>pl-PL</dc:language>
  <cp:lastModifiedBy/>
  <cp:lastPrinted>2019-01-23T11:10:00Z</cp:lastPrinted>
  <dcterms:modified xsi:type="dcterms:W3CDTF">2021-11-22T16:56:36Z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